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79CFD34FC74449678C6C1BF13A9FADF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E42591" w:rsidP="00886C9D">
          <w:pPr>
            <w:pStyle w:val="Title"/>
          </w:pPr>
          <w:r>
            <w:t>Reoffending While on Bail</w:t>
          </w:r>
        </w:p>
      </w:sdtContent>
    </w:sdt>
    <w:p w:rsidR="00BD0F38" w:rsidRPr="00E77ACA" w:rsidRDefault="00E42591"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Analyses of Adult and Youth </w:t>
      </w:r>
      <w:r w:rsidR="004228E0">
        <w:t>D</w:t>
      </w:r>
      <w:r>
        <w:t>efendants</w:t>
      </w: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111DFE"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32A7FA3B177A462C8817FDAC9E5873D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42591">
                  <w:t>Reoffending While on Bail</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Default="00E42591" w:rsidP="00050358">
            <w:pPr>
              <w:cnfStyle w:val="000000010000" w:firstRow="0" w:lastRow="0" w:firstColumn="0" w:lastColumn="0" w:oddVBand="0" w:evenVBand="0" w:oddHBand="0" w:evenHBand="1" w:firstRowFirstColumn="0" w:firstRowLastColumn="0" w:lastRowFirstColumn="0" w:lastRowLastColumn="0"/>
            </w:pPr>
            <w:r>
              <w:t>Criminal Justice Research and Statistics Unit</w:t>
            </w:r>
          </w:p>
          <w:p w:rsidR="00E42591" w:rsidRPr="00050358" w:rsidRDefault="00E42591" w:rsidP="00050358">
            <w:pPr>
              <w:cnfStyle w:val="000000010000" w:firstRow="0" w:lastRow="0" w:firstColumn="0" w:lastColumn="0" w:oddVBand="0" w:evenVBand="0" w:oddHBand="0" w:evenHBand="1" w:firstRowFirstColumn="0" w:firstRowLastColumn="0" w:lastRowFirstColumn="0" w:lastRowLastColumn="0"/>
            </w:pPr>
            <w:r>
              <w:t>Department of the Attorney-General and Justice</w:t>
            </w:r>
          </w:p>
        </w:tc>
      </w:tr>
      <w:tr w:rsidR="00E42591"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Pr>
          <w:p w:rsidR="00E42591" w:rsidRPr="00FB0A2D" w:rsidRDefault="00E42591" w:rsidP="00050358">
            <w:pPr>
              <w:rPr>
                <w:b/>
                <w:color w:val="FFFFFF" w:themeColor="background1"/>
              </w:rPr>
            </w:pPr>
            <w:r>
              <w:rPr>
                <w:b/>
                <w:color w:val="FFFFFF" w:themeColor="background1"/>
              </w:rPr>
              <w:t>Author</w:t>
            </w:r>
          </w:p>
        </w:tc>
        <w:tc>
          <w:tcPr>
            <w:tcW w:w="7938" w:type="dxa"/>
            <w:tcBorders>
              <w:top w:val="nil"/>
              <w:left w:val="single" w:sz="4" w:space="0" w:color="1F1F5F" w:themeColor="text1"/>
              <w:bottom w:val="nil"/>
              <w:right w:val="single" w:sz="4" w:space="0" w:color="1F1F5F" w:themeColor="text1"/>
            </w:tcBorders>
          </w:tcPr>
          <w:p w:rsidR="00E42591" w:rsidRDefault="00E42591" w:rsidP="00050358">
            <w:pPr>
              <w:cnfStyle w:val="000000100000" w:firstRow="0" w:lastRow="0" w:firstColumn="0" w:lastColumn="0" w:oddVBand="0" w:evenVBand="0" w:oddHBand="1" w:evenHBand="0" w:firstRowFirstColumn="0" w:firstRowLastColumn="0" w:lastRowFirstColumn="0" w:lastRowLastColumn="0"/>
            </w:pPr>
            <w:r>
              <w:t>Carolyn Whyte</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B37F43" w:rsidP="00050358">
            <w:pPr>
              <w:cnfStyle w:val="000000010000" w:firstRow="0" w:lastRow="0" w:firstColumn="0" w:lastColumn="0" w:oddVBand="0" w:evenVBand="0" w:oddHBand="0" w:evenHBand="1" w:firstRowFirstColumn="0" w:firstRowLastColumn="0" w:lastRowFirstColumn="0" w:lastRowLastColumn="0"/>
            </w:pPr>
            <w:r>
              <w:t>Gemma Lake</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B37F43" w:rsidP="00050358">
            <w:pPr>
              <w:cnfStyle w:val="000000100000" w:firstRow="0" w:lastRow="0" w:firstColumn="0" w:lastColumn="0" w:oddVBand="0" w:evenVBand="0" w:oddHBand="1" w:evenHBand="0" w:firstRowFirstColumn="0" w:firstRowLastColumn="0" w:lastRowFirstColumn="0" w:lastRowLastColumn="0"/>
            </w:pPr>
            <w:r>
              <w:t>15 April 2021</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4228E0" w:rsidP="00050358">
            <w:pPr>
              <w:cnfStyle w:val="000000010000" w:firstRow="0" w:lastRow="0" w:firstColumn="0" w:lastColumn="0" w:oddVBand="0" w:evenVBand="0" w:oddHBand="0" w:evenHBand="1" w:firstRowFirstColumn="0" w:firstRowLastColumn="0" w:lastRowFirstColumn="0" w:lastRowLastColumn="0"/>
            </w:pPr>
            <w:r>
              <w:t>2020/2663/0002~0006</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E42591" w:rsidP="00050358">
            <w:r>
              <w:t>1</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E42591" w:rsidP="00050358">
            <w:r>
              <w:t>25 November 2020</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E42591" w:rsidP="00050358">
            <w:r>
              <w:t>Carolyn Whyte</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E42591" w:rsidP="00050358">
            <w:r>
              <w:t>Formatted version</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0D7524" w:rsidP="00050358">
            <w:r>
              <w:t>2</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0D7524" w:rsidP="00050358">
            <w:r>
              <w:t>15 February 2021</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0D7524" w:rsidP="00050358">
            <w:r>
              <w:t>Carolyn Whyte</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0D7524" w:rsidP="00050358">
            <w:r>
              <w:t>Updated analysis</w:t>
            </w:r>
          </w:p>
        </w:tc>
      </w:tr>
      <w:tr w:rsidR="003223FE" w:rsidRPr="00050358" w:rsidTr="00081E5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4C03B3" w:rsidP="00050358">
            <w:r>
              <w:t>2.5</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4C03B3" w:rsidP="00050358">
            <w:r>
              <w:t>24 March 2021</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4C03B3" w:rsidP="00050358">
            <w:r>
              <w:t>Carolyn Whyte</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4C03B3" w:rsidP="00050358">
            <w:r>
              <w:t>First final draft</w:t>
            </w:r>
          </w:p>
        </w:tc>
      </w:tr>
      <w:tr w:rsidR="00081E5F"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081E5F" w:rsidRDefault="00F53B6B" w:rsidP="00050358">
            <w:r>
              <w:t>2.6</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081E5F" w:rsidRDefault="00F53B6B" w:rsidP="00050358">
            <w:r>
              <w:t>25 March 2021</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081E5F" w:rsidRDefault="00F53B6B" w:rsidP="00050358">
            <w:r>
              <w:t>Carolyn Whyte, Kylie Williams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081E5F" w:rsidRDefault="00F53B6B" w:rsidP="00050358">
            <w:r>
              <w:t>Review and revisions</w:t>
            </w:r>
          </w:p>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4C03B3"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4C03B3" w:rsidRDefault="004C03B3" w:rsidP="00050358">
            <w:r>
              <w:t>COVID-19</w:t>
            </w:r>
          </w:p>
        </w:tc>
        <w:tc>
          <w:tcPr>
            <w:cnfStyle w:val="000100000000" w:firstRow="0" w:lastRow="0" w:firstColumn="0" w:lastColumn="1" w:oddVBand="0" w:evenVBand="0" w:oddHBand="0" w:evenHBand="0" w:firstRowFirstColumn="0" w:firstRowLastColumn="0" w:lastRowFirstColumn="0" w:lastRowLastColumn="0"/>
            <w:tcW w:w="8362" w:type="dxa"/>
          </w:tcPr>
          <w:p w:rsidR="004C03B3" w:rsidRDefault="004C03B3" w:rsidP="00050358">
            <w:r>
              <w:t>Coronavirus disease 19</w:t>
            </w:r>
          </w:p>
        </w:tc>
      </w:tr>
      <w:tr w:rsidR="0078015B"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78015B" w:rsidRDefault="0078015B" w:rsidP="00050358">
            <w:r>
              <w:t>IJIS</w:t>
            </w:r>
          </w:p>
        </w:tc>
        <w:tc>
          <w:tcPr>
            <w:cnfStyle w:val="000100000000" w:firstRow="0" w:lastRow="0" w:firstColumn="0" w:lastColumn="1" w:oddVBand="0" w:evenVBand="0" w:oddHBand="0" w:evenHBand="0" w:firstRowFirstColumn="0" w:firstRowLastColumn="0" w:lastRowFirstColumn="0" w:lastRowLastColumn="0"/>
            <w:tcW w:w="8362" w:type="dxa"/>
          </w:tcPr>
          <w:p w:rsidR="0078015B" w:rsidRDefault="0078015B" w:rsidP="00050358">
            <w:r>
              <w:t>Integrated Justice Information System</w:t>
            </w:r>
          </w:p>
        </w:tc>
      </w:tr>
      <w:tr w:rsidR="0078015B"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78015B" w:rsidRDefault="0078015B" w:rsidP="00050358">
            <w:r>
              <w:t>IOMS</w:t>
            </w:r>
          </w:p>
        </w:tc>
        <w:tc>
          <w:tcPr>
            <w:cnfStyle w:val="000100000000" w:firstRow="0" w:lastRow="0" w:firstColumn="0" w:lastColumn="1" w:oddVBand="0" w:evenVBand="0" w:oddHBand="0" w:evenHBand="0" w:firstRowFirstColumn="0" w:firstRowLastColumn="0" w:lastRowFirstColumn="0" w:lastRowLastColumn="0"/>
            <w:tcW w:w="8362" w:type="dxa"/>
          </w:tcPr>
          <w:p w:rsidR="0078015B" w:rsidRDefault="0078015B" w:rsidP="00050358">
            <w:r>
              <w:t>Integrated Offender Management System</w:t>
            </w:r>
          </w:p>
        </w:tc>
      </w:tr>
      <w:tr w:rsidR="003223F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4C03B3"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4C03B3" w:rsidP="00050358">
            <w:r>
              <w:t>Northern Territory</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FD4C8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2758043" w:history="1">
            <w:r w:rsidR="00FD4C89" w:rsidRPr="00416D51">
              <w:rPr>
                <w:rStyle w:val="Hyperlink"/>
                <w:noProof/>
                <w:lang w:eastAsia="en-AU"/>
              </w:rPr>
              <w:t>1. Executive Summary</w:t>
            </w:r>
            <w:r w:rsidR="00FD4C89">
              <w:rPr>
                <w:noProof/>
                <w:webHidden/>
              </w:rPr>
              <w:tab/>
            </w:r>
            <w:r w:rsidR="00FD4C89">
              <w:rPr>
                <w:noProof/>
                <w:webHidden/>
              </w:rPr>
              <w:fldChar w:fldCharType="begin"/>
            </w:r>
            <w:r w:rsidR="00FD4C89">
              <w:rPr>
                <w:noProof/>
                <w:webHidden/>
              </w:rPr>
              <w:instrText xml:space="preserve"> PAGEREF _Toc72758043 \h </w:instrText>
            </w:r>
            <w:r w:rsidR="00FD4C89">
              <w:rPr>
                <w:noProof/>
                <w:webHidden/>
              </w:rPr>
            </w:r>
            <w:r w:rsidR="00FD4C89">
              <w:rPr>
                <w:noProof/>
                <w:webHidden/>
              </w:rPr>
              <w:fldChar w:fldCharType="separate"/>
            </w:r>
            <w:r w:rsidR="00FD4C89">
              <w:rPr>
                <w:noProof/>
                <w:webHidden/>
              </w:rPr>
              <w:t>4</w:t>
            </w:r>
            <w:r w:rsidR="00FD4C89">
              <w:rPr>
                <w:noProof/>
                <w:webHidden/>
              </w:rPr>
              <w:fldChar w:fldCharType="end"/>
            </w:r>
          </w:hyperlink>
        </w:p>
        <w:p w:rsidR="00FD4C89" w:rsidRDefault="00111DFE">
          <w:pPr>
            <w:pStyle w:val="TOC1"/>
            <w:rPr>
              <w:rFonts w:asciiTheme="minorHAnsi" w:eastAsiaTheme="minorEastAsia" w:hAnsiTheme="minorHAnsi" w:cstheme="minorBidi"/>
              <w:b w:val="0"/>
              <w:noProof/>
              <w:lang w:eastAsia="en-AU"/>
            </w:rPr>
          </w:pPr>
          <w:hyperlink w:anchor="_Toc72758044" w:history="1">
            <w:r w:rsidR="00FD4C89" w:rsidRPr="00416D51">
              <w:rPr>
                <w:rStyle w:val="Hyperlink"/>
                <w:noProof/>
                <w:lang w:eastAsia="en-AU"/>
              </w:rPr>
              <w:t>2. Background</w:t>
            </w:r>
            <w:r w:rsidR="00FD4C89">
              <w:rPr>
                <w:noProof/>
                <w:webHidden/>
              </w:rPr>
              <w:tab/>
            </w:r>
            <w:r w:rsidR="00FD4C89">
              <w:rPr>
                <w:noProof/>
                <w:webHidden/>
              </w:rPr>
              <w:fldChar w:fldCharType="begin"/>
            </w:r>
            <w:r w:rsidR="00FD4C89">
              <w:rPr>
                <w:noProof/>
                <w:webHidden/>
              </w:rPr>
              <w:instrText xml:space="preserve"> PAGEREF _Toc72758044 \h </w:instrText>
            </w:r>
            <w:r w:rsidR="00FD4C89">
              <w:rPr>
                <w:noProof/>
                <w:webHidden/>
              </w:rPr>
            </w:r>
            <w:r w:rsidR="00FD4C89">
              <w:rPr>
                <w:noProof/>
                <w:webHidden/>
              </w:rPr>
              <w:fldChar w:fldCharType="separate"/>
            </w:r>
            <w:r w:rsidR="00FD4C89">
              <w:rPr>
                <w:noProof/>
                <w:webHidden/>
              </w:rPr>
              <w:t>5</w:t>
            </w:r>
            <w:r w:rsidR="00FD4C89">
              <w:rPr>
                <w:noProof/>
                <w:webHidden/>
              </w:rPr>
              <w:fldChar w:fldCharType="end"/>
            </w:r>
          </w:hyperlink>
        </w:p>
        <w:p w:rsidR="00FD4C89" w:rsidRDefault="00111DFE">
          <w:pPr>
            <w:pStyle w:val="TOC1"/>
            <w:rPr>
              <w:rFonts w:asciiTheme="minorHAnsi" w:eastAsiaTheme="minorEastAsia" w:hAnsiTheme="minorHAnsi" w:cstheme="minorBidi"/>
              <w:b w:val="0"/>
              <w:noProof/>
              <w:lang w:eastAsia="en-AU"/>
            </w:rPr>
          </w:pPr>
          <w:hyperlink w:anchor="_Toc72758045" w:history="1">
            <w:r w:rsidR="00FD4C89" w:rsidRPr="00416D51">
              <w:rPr>
                <w:rStyle w:val="Hyperlink"/>
                <w:noProof/>
                <w:lang w:eastAsia="en-AU"/>
              </w:rPr>
              <w:t>3. Methods</w:t>
            </w:r>
            <w:r w:rsidR="00FD4C89">
              <w:rPr>
                <w:noProof/>
                <w:webHidden/>
              </w:rPr>
              <w:tab/>
            </w:r>
            <w:r w:rsidR="00FD4C89">
              <w:rPr>
                <w:noProof/>
                <w:webHidden/>
              </w:rPr>
              <w:fldChar w:fldCharType="begin"/>
            </w:r>
            <w:r w:rsidR="00FD4C89">
              <w:rPr>
                <w:noProof/>
                <w:webHidden/>
              </w:rPr>
              <w:instrText xml:space="preserve"> PAGEREF _Toc72758045 \h </w:instrText>
            </w:r>
            <w:r w:rsidR="00FD4C89">
              <w:rPr>
                <w:noProof/>
                <w:webHidden/>
              </w:rPr>
            </w:r>
            <w:r w:rsidR="00FD4C89">
              <w:rPr>
                <w:noProof/>
                <w:webHidden/>
              </w:rPr>
              <w:fldChar w:fldCharType="separate"/>
            </w:r>
            <w:r w:rsidR="00FD4C89">
              <w:rPr>
                <w:noProof/>
                <w:webHidden/>
              </w:rPr>
              <w:t>5</w:t>
            </w:r>
            <w:r w:rsidR="00FD4C89">
              <w:rPr>
                <w:noProof/>
                <w:webHidden/>
              </w:rPr>
              <w:fldChar w:fldCharType="end"/>
            </w:r>
          </w:hyperlink>
        </w:p>
        <w:p w:rsidR="00FD4C89" w:rsidRDefault="00111DFE">
          <w:pPr>
            <w:pStyle w:val="TOC2"/>
            <w:rPr>
              <w:rFonts w:asciiTheme="minorHAnsi" w:eastAsiaTheme="minorEastAsia" w:hAnsiTheme="minorHAnsi" w:cstheme="minorBidi"/>
              <w:noProof/>
              <w:lang w:eastAsia="en-AU"/>
            </w:rPr>
          </w:pPr>
          <w:hyperlink w:anchor="_Toc72758046" w:history="1">
            <w:r w:rsidR="00FD4C89" w:rsidRPr="00416D51">
              <w:rPr>
                <w:rStyle w:val="Hyperlink"/>
                <w:noProof/>
              </w:rPr>
              <w:t>3.1. Data</w:t>
            </w:r>
            <w:r w:rsidR="00FD4C89">
              <w:rPr>
                <w:noProof/>
                <w:webHidden/>
              </w:rPr>
              <w:tab/>
            </w:r>
            <w:r w:rsidR="00FD4C89">
              <w:rPr>
                <w:noProof/>
                <w:webHidden/>
              </w:rPr>
              <w:fldChar w:fldCharType="begin"/>
            </w:r>
            <w:r w:rsidR="00FD4C89">
              <w:rPr>
                <w:noProof/>
                <w:webHidden/>
              </w:rPr>
              <w:instrText xml:space="preserve"> PAGEREF _Toc72758046 \h </w:instrText>
            </w:r>
            <w:r w:rsidR="00FD4C89">
              <w:rPr>
                <w:noProof/>
                <w:webHidden/>
              </w:rPr>
            </w:r>
            <w:r w:rsidR="00FD4C89">
              <w:rPr>
                <w:noProof/>
                <w:webHidden/>
              </w:rPr>
              <w:fldChar w:fldCharType="separate"/>
            </w:r>
            <w:r w:rsidR="00FD4C89">
              <w:rPr>
                <w:noProof/>
                <w:webHidden/>
              </w:rPr>
              <w:t>5</w:t>
            </w:r>
            <w:r w:rsidR="00FD4C89">
              <w:rPr>
                <w:noProof/>
                <w:webHidden/>
              </w:rPr>
              <w:fldChar w:fldCharType="end"/>
            </w:r>
          </w:hyperlink>
        </w:p>
        <w:p w:rsidR="00FD4C89" w:rsidRDefault="00111DFE">
          <w:pPr>
            <w:pStyle w:val="TOC2"/>
            <w:rPr>
              <w:rFonts w:asciiTheme="minorHAnsi" w:eastAsiaTheme="minorEastAsia" w:hAnsiTheme="minorHAnsi" w:cstheme="minorBidi"/>
              <w:noProof/>
              <w:lang w:eastAsia="en-AU"/>
            </w:rPr>
          </w:pPr>
          <w:hyperlink w:anchor="_Toc72758047" w:history="1">
            <w:r w:rsidR="00FD4C89" w:rsidRPr="00416D51">
              <w:rPr>
                <w:rStyle w:val="Hyperlink"/>
                <w:noProof/>
                <w:lang w:eastAsia="en-AU"/>
              </w:rPr>
              <w:t>3.2. Analysis methods</w:t>
            </w:r>
            <w:r w:rsidR="00FD4C89">
              <w:rPr>
                <w:noProof/>
                <w:webHidden/>
              </w:rPr>
              <w:tab/>
            </w:r>
            <w:r w:rsidR="00FD4C89">
              <w:rPr>
                <w:noProof/>
                <w:webHidden/>
              </w:rPr>
              <w:fldChar w:fldCharType="begin"/>
            </w:r>
            <w:r w:rsidR="00FD4C89">
              <w:rPr>
                <w:noProof/>
                <w:webHidden/>
              </w:rPr>
              <w:instrText xml:space="preserve"> PAGEREF _Toc72758047 \h </w:instrText>
            </w:r>
            <w:r w:rsidR="00FD4C89">
              <w:rPr>
                <w:noProof/>
                <w:webHidden/>
              </w:rPr>
            </w:r>
            <w:r w:rsidR="00FD4C89">
              <w:rPr>
                <w:noProof/>
                <w:webHidden/>
              </w:rPr>
              <w:fldChar w:fldCharType="separate"/>
            </w:r>
            <w:r w:rsidR="00FD4C89">
              <w:rPr>
                <w:noProof/>
                <w:webHidden/>
              </w:rPr>
              <w:t>6</w:t>
            </w:r>
            <w:r w:rsidR="00FD4C89">
              <w:rPr>
                <w:noProof/>
                <w:webHidden/>
              </w:rPr>
              <w:fldChar w:fldCharType="end"/>
            </w:r>
          </w:hyperlink>
        </w:p>
        <w:p w:rsidR="00FD4C89" w:rsidRDefault="00111DFE">
          <w:pPr>
            <w:pStyle w:val="TOC1"/>
            <w:rPr>
              <w:rFonts w:asciiTheme="minorHAnsi" w:eastAsiaTheme="minorEastAsia" w:hAnsiTheme="minorHAnsi" w:cstheme="minorBidi"/>
              <w:b w:val="0"/>
              <w:noProof/>
              <w:lang w:eastAsia="en-AU"/>
            </w:rPr>
          </w:pPr>
          <w:hyperlink w:anchor="_Toc72758048" w:history="1">
            <w:r w:rsidR="00FD4C89" w:rsidRPr="00416D51">
              <w:rPr>
                <w:rStyle w:val="Hyperlink"/>
                <w:noProof/>
                <w:lang w:eastAsia="en-AU"/>
              </w:rPr>
              <w:t>4. Results</w:t>
            </w:r>
            <w:r w:rsidR="00FD4C89">
              <w:rPr>
                <w:noProof/>
                <w:webHidden/>
              </w:rPr>
              <w:tab/>
            </w:r>
            <w:r w:rsidR="00FD4C89">
              <w:rPr>
                <w:noProof/>
                <w:webHidden/>
              </w:rPr>
              <w:fldChar w:fldCharType="begin"/>
            </w:r>
            <w:r w:rsidR="00FD4C89">
              <w:rPr>
                <w:noProof/>
                <w:webHidden/>
              </w:rPr>
              <w:instrText xml:space="preserve"> PAGEREF _Toc72758048 \h </w:instrText>
            </w:r>
            <w:r w:rsidR="00FD4C89">
              <w:rPr>
                <w:noProof/>
                <w:webHidden/>
              </w:rPr>
            </w:r>
            <w:r w:rsidR="00FD4C89">
              <w:rPr>
                <w:noProof/>
                <w:webHidden/>
              </w:rPr>
              <w:fldChar w:fldCharType="separate"/>
            </w:r>
            <w:r w:rsidR="00FD4C89">
              <w:rPr>
                <w:noProof/>
                <w:webHidden/>
              </w:rPr>
              <w:t>6</w:t>
            </w:r>
            <w:r w:rsidR="00FD4C89">
              <w:rPr>
                <w:noProof/>
                <w:webHidden/>
              </w:rPr>
              <w:fldChar w:fldCharType="end"/>
            </w:r>
          </w:hyperlink>
        </w:p>
        <w:p w:rsidR="00FD4C89" w:rsidRDefault="00111DFE">
          <w:pPr>
            <w:pStyle w:val="TOC2"/>
            <w:rPr>
              <w:rFonts w:asciiTheme="minorHAnsi" w:eastAsiaTheme="minorEastAsia" w:hAnsiTheme="minorHAnsi" w:cstheme="minorBidi"/>
              <w:noProof/>
              <w:lang w:eastAsia="en-AU"/>
            </w:rPr>
          </w:pPr>
          <w:hyperlink w:anchor="_Toc72758049" w:history="1">
            <w:r w:rsidR="00FD4C89" w:rsidRPr="00416D51">
              <w:rPr>
                <w:rStyle w:val="Hyperlink"/>
                <w:noProof/>
                <w:lang w:eastAsia="en-AU"/>
              </w:rPr>
              <w:t>4.1. Sample Description</w:t>
            </w:r>
            <w:r w:rsidR="00FD4C89">
              <w:rPr>
                <w:noProof/>
                <w:webHidden/>
              </w:rPr>
              <w:tab/>
            </w:r>
            <w:r w:rsidR="00FD4C89">
              <w:rPr>
                <w:noProof/>
                <w:webHidden/>
              </w:rPr>
              <w:fldChar w:fldCharType="begin"/>
            </w:r>
            <w:r w:rsidR="00FD4C89">
              <w:rPr>
                <w:noProof/>
                <w:webHidden/>
              </w:rPr>
              <w:instrText xml:space="preserve"> PAGEREF _Toc72758049 \h </w:instrText>
            </w:r>
            <w:r w:rsidR="00FD4C89">
              <w:rPr>
                <w:noProof/>
                <w:webHidden/>
              </w:rPr>
            </w:r>
            <w:r w:rsidR="00FD4C89">
              <w:rPr>
                <w:noProof/>
                <w:webHidden/>
              </w:rPr>
              <w:fldChar w:fldCharType="separate"/>
            </w:r>
            <w:r w:rsidR="00FD4C89">
              <w:rPr>
                <w:noProof/>
                <w:webHidden/>
              </w:rPr>
              <w:t>6</w:t>
            </w:r>
            <w:r w:rsidR="00FD4C89">
              <w:rPr>
                <w:noProof/>
                <w:webHidden/>
              </w:rPr>
              <w:fldChar w:fldCharType="end"/>
            </w:r>
          </w:hyperlink>
        </w:p>
        <w:p w:rsidR="00FD4C89" w:rsidRDefault="00111DFE">
          <w:pPr>
            <w:pStyle w:val="TOC2"/>
            <w:rPr>
              <w:rFonts w:asciiTheme="minorHAnsi" w:eastAsiaTheme="minorEastAsia" w:hAnsiTheme="minorHAnsi" w:cstheme="minorBidi"/>
              <w:noProof/>
              <w:lang w:eastAsia="en-AU"/>
            </w:rPr>
          </w:pPr>
          <w:hyperlink w:anchor="_Toc72758050" w:history="1">
            <w:r w:rsidR="00FD4C89" w:rsidRPr="00416D51">
              <w:rPr>
                <w:rStyle w:val="Hyperlink"/>
                <w:noProof/>
                <w:lang w:eastAsia="en-AU"/>
              </w:rPr>
              <w:t>4.2. Survival Analysis</w:t>
            </w:r>
            <w:r w:rsidR="00FD4C89">
              <w:rPr>
                <w:noProof/>
                <w:webHidden/>
              </w:rPr>
              <w:tab/>
            </w:r>
            <w:r w:rsidR="00FD4C89">
              <w:rPr>
                <w:noProof/>
                <w:webHidden/>
              </w:rPr>
              <w:fldChar w:fldCharType="begin"/>
            </w:r>
            <w:r w:rsidR="00FD4C89">
              <w:rPr>
                <w:noProof/>
                <w:webHidden/>
              </w:rPr>
              <w:instrText xml:space="preserve"> PAGEREF _Toc72758050 \h </w:instrText>
            </w:r>
            <w:r w:rsidR="00FD4C89">
              <w:rPr>
                <w:noProof/>
                <w:webHidden/>
              </w:rPr>
            </w:r>
            <w:r w:rsidR="00FD4C89">
              <w:rPr>
                <w:noProof/>
                <w:webHidden/>
              </w:rPr>
              <w:fldChar w:fldCharType="separate"/>
            </w:r>
            <w:r w:rsidR="00FD4C89">
              <w:rPr>
                <w:noProof/>
                <w:webHidden/>
              </w:rPr>
              <w:t>9</w:t>
            </w:r>
            <w:r w:rsidR="00FD4C89">
              <w:rPr>
                <w:noProof/>
                <w:webHidden/>
              </w:rPr>
              <w:fldChar w:fldCharType="end"/>
            </w:r>
          </w:hyperlink>
        </w:p>
        <w:p w:rsidR="00FD4C89" w:rsidRDefault="00111DFE">
          <w:pPr>
            <w:pStyle w:val="TOC3"/>
            <w:tabs>
              <w:tab w:val="right" w:leader="dot" w:pos="10308"/>
            </w:tabs>
            <w:rPr>
              <w:rFonts w:asciiTheme="minorHAnsi" w:eastAsiaTheme="minorEastAsia" w:hAnsiTheme="minorHAnsi" w:cstheme="minorBidi"/>
              <w:noProof/>
              <w:lang w:eastAsia="en-AU"/>
            </w:rPr>
          </w:pPr>
          <w:hyperlink w:anchor="_Toc72758051" w:history="1">
            <w:r w:rsidR="00FD4C89" w:rsidRPr="00416D51">
              <w:rPr>
                <w:rStyle w:val="Hyperlink"/>
                <w:noProof/>
                <w:lang w:eastAsia="en-AU"/>
              </w:rPr>
              <w:t>4.2.1. Adults</w:t>
            </w:r>
            <w:r w:rsidR="00FD4C89">
              <w:rPr>
                <w:noProof/>
                <w:webHidden/>
              </w:rPr>
              <w:tab/>
            </w:r>
            <w:r w:rsidR="00FD4C89">
              <w:rPr>
                <w:noProof/>
                <w:webHidden/>
              </w:rPr>
              <w:fldChar w:fldCharType="begin"/>
            </w:r>
            <w:r w:rsidR="00FD4C89">
              <w:rPr>
                <w:noProof/>
                <w:webHidden/>
              </w:rPr>
              <w:instrText xml:space="preserve"> PAGEREF _Toc72758051 \h </w:instrText>
            </w:r>
            <w:r w:rsidR="00FD4C89">
              <w:rPr>
                <w:noProof/>
                <w:webHidden/>
              </w:rPr>
            </w:r>
            <w:r w:rsidR="00FD4C89">
              <w:rPr>
                <w:noProof/>
                <w:webHidden/>
              </w:rPr>
              <w:fldChar w:fldCharType="separate"/>
            </w:r>
            <w:r w:rsidR="00FD4C89">
              <w:rPr>
                <w:noProof/>
                <w:webHidden/>
              </w:rPr>
              <w:t>9</w:t>
            </w:r>
            <w:r w:rsidR="00FD4C89">
              <w:rPr>
                <w:noProof/>
                <w:webHidden/>
              </w:rPr>
              <w:fldChar w:fldCharType="end"/>
            </w:r>
          </w:hyperlink>
        </w:p>
        <w:p w:rsidR="00FD4C89" w:rsidRDefault="00111DFE">
          <w:pPr>
            <w:pStyle w:val="TOC3"/>
            <w:tabs>
              <w:tab w:val="right" w:leader="dot" w:pos="10308"/>
            </w:tabs>
            <w:rPr>
              <w:rFonts w:asciiTheme="minorHAnsi" w:eastAsiaTheme="minorEastAsia" w:hAnsiTheme="minorHAnsi" w:cstheme="minorBidi"/>
              <w:noProof/>
              <w:lang w:eastAsia="en-AU"/>
            </w:rPr>
          </w:pPr>
          <w:hyperlink w:anchor="_Toc72758052" w:history="1">
            <w:r w:rsidR="00FD4C89" w:rsidRPr="00416D51">
              <w:rPr>
                <w:rStyle w:val="Hyperlink"/>
                <w:noProof/>
                <w:lang w:eastAsia="en-AU"/>
              </w:rPr>
              <w:t>4.2.2. Youth</w:t>
            </w:r>
            <w:r w:rsidR="00FD4C89">
              <w:rPr>
                <w:noProof/>
                <w:webHidden/>
              </w:rPr>
              <w:tab/>
            </w:r>
            <w:r w:rsidR="00FD4C89">
              <w:rPr>
                <w:noProof/>
                <w:webHidden/>
              </w:rPr>
              <w:fldChar w:fldCharType="begin"/>
            </w:r>
            <w:r w:rsidR="00FD4C89">
              <w:rPr>
                <w:noProof/>
                <w:webHidden/>
              </w:rPr>
              <w:instrText xml:space="preserve"> PAGEREF _Toc72758052 \h </w:instrText>
            </w:r>
            <w:r w:rsidR="00FD4C89">
              <w:rPr>
                <w:noProof/>
                <w:webHidden/>
              </w:rPr>
            </w:r>
            <w:r w:rsidR="00FD4C89">
              <w:rPr>
                <w:noProof/>
                <w:webHidden/>
              </w:rPr>
              <w:fldChar w:fldCharType="separate"/>
            </w:r>
            <w:r w:rsidR="00FD4C89">
              <w:rPr>
                <w:noProof/>
                <w:webHidden/>
              </w:rPr>
              <w:t>11</w:t>
            </w:r>
            <w:r w:rsidR="00FD4C89">
              <w:rPr>
                <w:noProof/>
                <w:webHidden/>
              </w:rPr>
              <w:fldChar w:fldCharType="end"/>
            </w:r>
          </w:hyperlink>
        </w:p>
        <w:p w:rsidR="00FD4C89" w:rsidRDefault="00111DFE">
          <w:pPr>
            <w:pStyle w:val="TOC2"/>
            <w:rPr>
              <w:rFonts w:asciiTheme="minorHAnsi" w:eastAsiaTheme="minorEastAsia" w:hAnsiTheme="minorHAnsi" w:cstheme="minorBidi"/>
              <w:noProof/>
              <w:lang w:eastAsia="en-AU"/>
            </w:rPr>
          </w:pPr>
          <w:hyperlink w:anchor="_Toc72758053" w:history="1">
            <w:r w:rsidR="00FD4C89" w:rsidRPr="00416D51">
              <w:rPr>
                <w:rStyle w:val="Hyperlink"/>
                <w:noProof/>
                <w:lang w:eastAsia="en-AU"/>
              </w:rPr>
              <w:t>4.3. Competing risks regression</w:t>
            </w:r>
            <w:r w:rsidR="00FD4C89">
              <w:rPr>
                <w:noProof/>
                <w:webHidden/>
              </w:rPr>
              <w:tab/>
            </w:r>
            <w:r w:rsidR="00FD4C89">
              <w:rPr>
                <w:noProof/>
                <w:webHidden/>
              </w:rPr>
              <w:fldChar w:fldCharType="begin"/>
            </w:r>
            <w:r w:rsidR="00FD4C89">
              <w:rPr>
                <w:noProof/>
                <w:webHidden/>
              </w:rPr>
              <w:instrText xml:space="preserve"> PAGEREF _Toc72758053 \h </w:instrText>
            </w:r>
            <w:r w:rsidR="00FD4C89">
              <w:rPr>
                <w:noProof/>
                <w:webHidden/>
              </w:rPr>
            </w:r>
            <w:r w:rsidR="00FD4C89">
              <w:rPr>
                <w:noProof/>
                <w:webHidden/>
              </w:rPr>
              <w:fldChar w:fldCharType="separate"/>
            </w:r>
            <w:r w:rsidR="00FD4C89">
              <w:rPr>
                <w:noProof/>
                <w:webHidden/>
              </w:rPr>
              <w:t>12</w:t>
            </w:r>
            <w:r w:rsidR="00FD4C89">
              <w:rPr>
                <w:noProof/>
                <w:webHidden/>
              </w:rPr>
              <w:fldChar w:fldCharType="end"/>
            </w:r>
          </w:hyperlink>
        </w:p>
        <w:p w:rsidR="00FD4C89" w:rsidRDefault="00111DFE">
          <w:pPr>
            <w:pStyle w:val="TOC1"/>
            <w:rPr>
              <w:rFonts w:asciiTheme="minorHAnsi" w:eastAsiaTheme="minorEastAsia" w:hAnsiTheme="minorHAnsi" w:cstheme="minorBidi"/>
              <w:b w:val="0"/>
              <w:noProof/>
              <w:lang w:eastAsia="en-AU"/>
            </w:rPr>
          </w:pPr>
          <w:hyperlink w:anchor="_Toc72758054" w:history="1">
            <w:r w:rsidR="00FD4C89" w:rsidRPr="00416D51">
              <w:rPr>
                <w:rStyle w:val="Hyperlink"/>
                <w:noProof/>
                <w:lang w:eastAsia="en-AU"/>
              </w:rPr>
              <w:t>5. Discussion</w:t>
            </w:r>
            <w:r w:rsidR="00FD4C89">
              <w:rPr>
                <w:noProof/>
                <w:webHidden/>
              </w:rPr>
              <w:tab/>
            </w:r>
            <w:r w:rsidR="00FD4C89">
              <w:rPr>
                <w:noProof/>
                <w:webHidden/>
              </w:rPr>
              <w:fldChar w:fldCharType="begin"/>
            </w:r>
            <w:r w:rsidR="00FD4C89">
              <w:rPr>
                <w:noProof/>
                <w:webHidden/>
              </w:rPr>
              <w:instrText xml:space="preserve"> PAGEREF _Toc72758054 \h </w:instrText>
            </w:r>
            <w:r w:rsidR="00FD4C89">
              <w:rPr>
                <w:noProof/>
                <w:webHidden/>
              </w:rPr>
            </w:r>
            <w:r w:rsidR="00FD4C89">
              <w:rPr>
                <w:noProof/>
                <w:webHidden/>
              </w:rPr>
              <w:fldChar w:fldCharType="separate"/>
            </w:r>
            <w:r w:rsidR="00FD4C89">
              <w:rPr>
                <w:noProof/>
                <w:webHidden/>
              </w:rPr>
              <w:t>16</w:t>
            </w:r>
            <w:r w:rsidR="00FD4C89">
              <w:rPr>
                <w:noProof/>
                <w:webHidden/>
              </w:rPr>
              <w:fldChar w:fldCharType="end"/>
            </w:r>
          </w:hyperlink>
        </w:p>
        <w:p w:rsidR="00FD4C89" w:rsidRDefault="00111DFE">
          <w:pPr>
            <w:pStyle w:val="TOC1"/>
            <w:rPr>
              <w:rFonts w:asciiTheme="minorHAnsi" w:eastAsiaTheme="minorEastAsia" w:hAnsiTheme="minorHAnsi" w:cstheme="minorBidi"/>
              <w:b w:val="0"/>
              <w:noProof/>
              <w:lang w:eastAsia="en-AU"/>
            </w:rPr>
          </w:pPr>
          <w:hyperlink w:anchor="_Toc72758055" w:history="1">
            <w:r w:rsidR="00FD4C89" w:rsidRPr="00416D51">
              <w:rPr>
                <w:rStyle w:val="Hyperlink"/>
                <w:noProof/>
                <w:lang w:eastAsia="en-AU"/>
              </w:rPr>
              <w:t>6. References</w:t>
            </w:r>
            <w:r w:rsidR="00FD4C89">
              <w:rPr>
                <w:noProof/>
                <w:webHidden/>
              </w:rPr>
              <w:tab/>
            </w:r>
            <w:r w:rsidR="00FD4C89">
              <w:rPr>
                <w:noProof/>
                <w:webHidden/>
              </w:rPr>
              <w:fldChar w:fldCharType="begin"/>
            </w:r>
            <w:r w:rsidR="00FD4C89">
              <w:rPr>
                <w:noProof/>
                <w:webHidden/>
              </w:rPr>
              <w:instrText xml:space="preserve"> PAGEREF _Toc72758055 \h </w:instrText>
            </w:r>
            <w:r w:rsidR="00FD4C89">
              <w:rPr>
                <w:noProof/>
                <w:webHidden/>
              </w:rPr>
            </w:r>
            <w:r w:rsidR="00FD4C89">
              <w:rPr>
                <w:noProof/>
                <w:webHidden/>
              </w:rPr>
              <w:fldChar w:fldCharType="separate"/>
            </w:r>
            <w:r w:rsidR="00FD4C89">
              <w:rPr>
                <w:noProof/>
                <w:webHidden/>
              </w:rPr>
              <w:t>16</w:t>
            </w:r>
            <w:r w:rsidR="00FD4C89">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EB3D43" w:rsidRDefault="00E42591" w:rsidP="00E45536">
      <w:pPr>
        <w:pStyle w:val="Heading1"/>
        <w:rPr>
          <w:noProof/>
          <w:lang w:eastAsia="en-AU"/>
        </w:rPr>
      </w:pPr>
      <w:bookmarkStart w:id="0" w:name="_Toc72758043"/>
      <w:r>
        <w:rPr>
          <w:noProof/>
          <w:lang w:eastAsia="en-AU"/>
        </w:rPr>
        <w:lastRenderedPageBreak/>
        <w:t>Executive Summary</w:t>
      </w:r>
      <w:bookmarkEnd w:id="0"/>
    </w:p>
    <w:p w:rsidR="00E42591" w:rsidRDefault="00E42591" w:rsidP="00E42591">
      <w:pPr>
        <w:rPr>
          <w:lang w:eastAsia="en-AU"/>
        </w:rPr>
      </w:pPr>
      <w:r w:rsidRPr="004E69E4">
        <w:rPr>
          <w:b/>
          <w:i/>
          <w:lang w:eastAsia="en-AU"/>
        </w:rPr>
        <w:t>Aims:</w:t>
      </w:r>
      <w:r>
        <w:rPr>
          <w:lang w:eastAsia="en-AU"/>
        </w:rPr>
        <w:t xml:space="preserve"> The likelihood of an individual committing a new offence while on bail or otherwise breaching their bail is one of the considerations taken into account by the judiciary when granting bail.  On any given day, the probability that an individual reoffends or breaches bail is relatively low</w:t>
      </w:r>
      <w:r w:rsidR="00A9372B">
        <w:rPr>
          <w:lang w:eastAsia="en-AU"/>
        </w:rPr>
        <w:t>;</w:t>
      </w:r>
      <w:r>
        <w:rPr>
          <w:lang w:eastAsia="en-AU"/>
        </w:rPr>
        <w:t xml:space="preserve"> however, a person may be granted </w:t>
      </w:r>
      <w:r w:rsidR="007906BB">
        <w:rPr>
          <w:lang w:eastAsia="en-AU"/>
        </w:rPr>
        <w:t>continued</w:t>
      </w:r>
      <w:r>
        <w:rPr>
          <w:lang w:eastAsia="en-AU"/>
        </w:rPr>
        <w:t xml:space="preserve"> periods of bail </w:t>
      </w:r>
      <w:r w:rsidR="007906BB">
        <w:rPr>
          <w:lang w:eastAsia="en-AU"/>
        </w:rPr>
        <w:t xml:space="preserve">at successive court appearances </w:t>
      </w:r>
      <w:r>
        <w:rPr>
          <w:lang w:eastAsia="en-AU"/>
        </w:rPr>
        <w:t>that may add up to over a year in some cases.  Over time, the probabilities of reoffending and breaches increase, but to an unknown degree.  This study addresses the following questions:</w:t>
      </w:r>
    </w:p>
    <w:p w:rsidR="00E42591" w:rsidRDefault="00E42591" w:rsidP="00E42591">
      <w:pPr>
        <w:pStyle w:val="ListParagraph"/>
        <w:numPr>
          <w:ilvl w:val="0"/>
          <w:numId w:val="42"/>
        </w:numPr>
        <w:rPr>
          <w:lang w:eastAsia="en-AU"/>
        </w:rPr>
      </w:pPr>
      <w:r>
        <w:rPr>
          <w:lang w:eastAsia="en-AU"/>
        </w:rPr>
        <w:t xml:space="preserve">What is the probability of defendants committing a new substantive offence while on bail? </w:t>
      </w:r>
    </w:p>
    <w:p w:rsidR="00E42591" w:rsidRDefault="00E42591" w:rsidP="00E42591">
      <w:pPr>
        <w:pStyle w:val="ListParagraph"/>
        <w:numPr>
          <w:ilvl w:val="0"/>
          <w:numId w:val="42"/>
        </w:numPr>
        <w:rPr>
          <w:lang w:eastAsia="en-AU"/>
        </w:rPr>
      </w:pPr>
      <w:r>
        <w:rPr>
          <w:lang w:eastAsia="en-AU"/>
        </w:rPr>
        <w:t>What is the probability of defendants committing a new breach of bail offence while on bail?</w:t>
      </w:r>
    </w:p>
    <w:p w:rsidR="00427D83" w:rsidRDefault="00427D83" w:rsidP="00E42591">
      <w:pPr>
        <w:pStyle w:val="ListParagraph"/>
        <w:numPr>
          <w:ilvl w:val="0"/>
          <w:numId w:val="42"/>
        </w:numPr>
        <w:rPr>
          <w:lang w:eastAsia="en-AU"/>
        </w:rPr>
      </w:pPr>
      <w:r>
        <w:rPr>
          <w:lang w:eastAsia="en-AU"/>
        </w:rPr>
        <w:t>What is the probability of defendants going into custody while on bail?</w:t>
      </w:r>
    </w:p>
    <w:p w:rsidR="00E42591" w:rsidRDefault="00E42591" w:rsidP="00E42591">
      <w:pPr>
        <w:pStyle w:val="ListParagraph"/>
        <w:numPr>
          <w:ilvl w:val="0"/>
          <w:numId w:val="42"/>
        </w:numPr>
        <w:rPr>
          <w:lang w:eastAsia="en-AU"/>
        </w:rPr>
      </w:pPr>
      <w:r>
        <w:rPr>
          <w:lang w:eastAsia="en-AU"/>
        </w:rPr>
        <w:t xml:space="preserve">What factors are associated with significant differences in </w:t>
      </w:r>
      <w:r w:rsidR="0073438B">
        <w:rPr>
          <w:lang w:eastAsia="en-AU"/>
        </w:rPr>
        <w:t>reoffending</w:t>
      </w:r>
      <w:r>
        <w:rPr>
          <w:lang w:eastAsia="en-AU"/>
        </w:rPr>
        <w:t xml:space="preserve"> while on bail, and how does the risk change in association with these factors?</w:t>
      </w:r>
    </w:p>
    <w:p w:rsidR="00E42591" w:rsidRDefault="00427D83" w:rsidP="00E42591">
      <w:pPr>
        <w:rPr>
          <w:lang w:eastAsia="en-AU"/>
        </w:rPr>
      </w:pPr>
      <w:r>
        <w:rPr>
          <w:lang w:eastAsia="en-AU"/>
        </w:rPr>
        <w:t xml:space="preserve">Individual probabilities of committing a new offence, breaching bail, and going into custody were calculated, as well as a combined incidence of all of the three outcomes.  </w:t>
      </w:r>
    </w:p>
    <w:p w:rsidR="00E42591" w:rsidRDefault="00E42591" w:rsidP="00E42591">
      <w:pPr>
        <w:rPr>
          <w:lang w:eastAsia="en-AU"/>
        </w:rPr>
      </w:pPr>
      <w:r w:rsidRPr="004E69E4">
        <w:rPr>
          <w:b/>
          <w:i/>
        </w:rPr>
        <w:t>Methods:</w:t>
      </w:r>
      <w:r>
        <w:t xml:space="preserve">  </w:t>
      </w:r>
      <w:r w:rsidR="000B4DE0">
        <w:t>A total of 2,926 periods of b</w:t>
      </w:r>
      <w:r>
        <w:t>ail granted in NT criminal courts for cases created in 2019-20</w:t>
      </w:r>
      <w:r w:rsidR="000B4DE0">
        <w:t xml:space="preserve"> were analysed</w:t>
      </w:r>
      <w:r>
        <w:rPr>
          <w:lang w:eastAsia="en-AU"/>
        </w:rPr>
        <w:t xml:space="preserve">, </w:t>
      </w:r>
      <w:r w:rsidR="000B4DE0">
        <w:rPr>
          <w:lang w:eastAsia="en-AU"/>
        </w:rPr>
        <w:t>including 406</w:t>
      </w:r>
      <w:r w:rsidR="00427D83" w:rsidRPr="00427D83">
        <w:rPr>
          <w:lang w:eastAsia="en-AU"/>
        </w:rPr>
        <w:t xml:space="preserve"> </w:t>
      </w:r>
      <w:r w:rsidR="000B4DE0">
        <w:rPr>
          <w:lang w:eastAsia="en-AU"/>
        </w:rPr>
        <w:t xml:space="preserve">for </w:t>
      </w:r>
      <w:r w:rsidRPr="00427D83">
        <w:rPr>
          <w:lang w:eastAsia="en-AU"/>
        </w:rPr>
        <w:t xml:space="preserve">youths and </w:t>
      </w:r>
      <w:r w:rsidR="000B4DE0">
        <w:rPr>
          <w:lang w:eastAsia="en-AU"/>
        </w:rPr>
        <w:t>2,520 for</w:t>
      </w:r>
      <w:r w:rsidR="00427D83" w:rsidRPr="00427D83">
        <w:rPr>
          <w:lang w:eastAsia="en-AU"/>
        </w:rPr>
        <w:t xml:space="preserve"> </w:t>
      </w:r>
      <w:r w:rsidRPr="00427D83">
        <w:rPr>
          <w:lang w:eastAsia="en-AU"/>
        </w:rPr>
        <w:t>adults</w:t>
      </w:r>
      <w:r>
        <w:rPr>
          <w:lang w:eastAsia="en-AU"/>
        </w:rPr>
        <w:t xml:space="preserve">.  </w:t>
      </w:r>
      <w:r w:rsidR="000B4DE0">
        <w:rPr>
          <w:lang w:eastAsia="en-AU"/>
        </w:rPr>
        <w:t>D</w:t>
      </w:r>
      <w:r>
        <w:rPr>
          <w:lang w:eastAsia="en-AU"/>
        </w:rPr>
        <w:t>efendants were observed from the date that bail was first granted in the case to the earliest of the following:  the date of the next alleged offence; the date of the next alleged breach of bail offence; the date of the next custodial reception; the date the person’s bail ended; or the analysis date, if bail continued past the analysis date.</w:t>
      </w:r>
    </w:p>
    <w:p w:rsidR="00E42591" w:rsidRDefault="000B4DE0" w:rsidP="00E42591">
      <w:pPr>
        <w:rPr>
          <w:lang w:eastAsia="en-AU"/>
        </w:rPr>
      </w:pPr>
      <w:r>
        <w:rPr>
          <w:lang w:eastAsia="en-AU"/>
        </w:rPr>
        <w:t>S</w:t>
      </w:r>
      <w:r w:rsidR="00E42591">
        <w:rPr>
          <w:lang w:eastAsia="en-AU"/>
        </w:rPr>
        <w:t>urvival analysis was used to calculate the cumulative incidence of committing a new offence</w:t>
      </w:r>
      <w:r w:rsidR="00A91E29">
        <w:rPr>
          <w:lang w:eastAsia="en-AU"/>
        </w:rPr>
        <w:t>, breaching bail,</w:t>
      </w:r>
      <w:r w:rsidR="00E42591">
        <w:rPr>
          <w:lang w:eastAsia="en-AU"/>
        </w:rPr>
        <w:t xml:space="preserve"> or going into custody</w:t>
      </w:r>
      <w:r>
        <w:rPr>
          <w:lang w:eastAsia="en-AU"/>
        </w:rPr>
        <w:t xml:space="preserve"> while on bail</w:t>
      </w:r>
      <w:r w:rsidR="00E42591">
        <w:rPr>
          <w:lang w:eastAsia="en-AU"/>
        </w:rPr>
        <w:t xml:space="preserve">.  Competing risks regression was used to </w:t>
      </w:r>
      <w:r>
        <w:rPr>
          <w:lang w:eastAsia="en-AU"/>
        </w:rPr>
        <w:t>assess whether factors such as gender and age had a significant impact on the risk of reoffending while on bail</w:t>
      </w:r>
      <w:r w:rsidR="00E42591">
        <w:rPr>
          <w:lang w:eastAsia="en-AU"/>
        </w:rPr>
        <w:t xml:space="preserve">.  </w:t>
      </w:r>
    </w:p>
    <w:p w:rsidR="00E42591" w:rsidRPr="00D470F1" w:rsidRDefault="00E42591" w:rsidP="00E42591">
      <w:pPr>
        <w:rPr>
          <w:lang w:eastAsia="en-AU"/>
        </w:rPr>
      </w:pPr>
      <w:r w:rsidRPr="004E69E4">
        <w:rPr>
          <w:b/>
          <w:i/>
          <w:lang w:eastAsia="en-AU"/>
        </w:rPr>
        <w:t>Results:</w:t>
      </w:r>
      <w:r>
        <w:rPr>
          <w:lang w:eastAsia="en-AU"/>
        </w:rPr>
        <w:t xml:space="preserve">  </w:t>
      </w:r>
      <w:r w:rsidRPr="008E4FB1">
        <w:rPr>
          <w:lang w:eastAsia="en-AU"/>
        </w:rPr>
        <w:t xml:space="preserve">By </w:t>
      </w:r>
      <w:r w:rsidR="008E4FB1" w:rsidRPr="008E4FB1">
        <w:rPr>
          <w:lang w:eastAsia="en-AU"/>
        </w:rPr>
        <w:t xml:space="preserve">4 </w:t>
      </w:r>
      <w:r w:rsidRPr="008E4FB1">
        <w:rPr>
          <w:lang w:eastAsia="en-AU"/>
        </w:rPr>
        <w:t xml:space="preserve">months on bail, </w:t>
      </w:r>
      <w:r w:rsidR="008E4FB1" w:rsidRPr="008E4FB1">
        <w:rPr>
          <w:lang w:eastAsia="en-AU"/>
        </w:rPr>
        <w:t>4</w:t>
      </w:r>
      <w:r w:rsidR="008E4FB1">
        <w:rPr>
          <w:lang w:eastAsia="en-AU"/>
        </w:rPr>
        <w:t xml:space="preserve">2% of youth bail and 21% of adult bail involved new offending while on bail.  Overall, </w:t>
      </w:r>
      <w:r w:rsidR="008E4FB1" w:rsidRPr="008E4FB1">
        <w:rPr>
          <w:lang w:eastAsia="en-AU"/>
        </w:rPr>
        <w:t>65</w:t>
      </w:r>
      <w:r w:rsidRPr="008E4FB1">
        <w:rPr>
          <w:lang w:eastAsia="en-AU"/>
        </w:rPr>
        <w:t xml:space="preserve">% of youths and </w:t>
      </w:r>
      <w:r w:rsidR="008E4FB1" w:rsidRPr="008E4FB1">
        <w:rPr>
          <w:lang w:eastAsia="en-AU"/>
        </w:rPr>
        <w:t>34</w:t>
      </w:r>
      <w:r w:rsidRPr="008E4FB1">
        <w:rPr>
          <w:lang w:eastAsia="en-AU"/>
        </w:rPr>
        <w:t>% of adults either committed a new offence</w:t>
      </w:r>
      <w:r w:rsidR="008E4FB1" w:rsidRPr="008E4FB1">
        <w:rPr>
          <w:lang w:eastAsia="en-AU"/>
        </w:rPr>
        <w:t>, breached bail,</w:t>
      </w:r>
      <w:r w:rsidRPr="008E4FB1">
        <w:rPr>
          <w:lang w:eastAsia="en-AU"/>
        </w:rPr>
        <w:t xml:space="preserve"> or </w:t>
      </w:r>
      <w:r w:rsidR="008E4FB1">
        <w:rPr>
          <w:lang w:eastAsia="en-AU"/>
        </w:rPr>
        <w:t xml:space="preserve">went </w:t>
      </w:r>
      <w:r w:rsidRPr="008E4FB1">
        <w:rPr>
          <w:lang w:eastAsia="en-AU"/>
        </w:rPr>
        <w:t>into custody</w:t>
      </w:r>
      <w:r w:rsidR="008E4FB1" w:rsidRPr="008E4FB1">
        <w:rPr>
          <w:lang w:eastAsia="en-AU"/>
        </w:rPr>
        <w:t xml:space="preserve"> without a new offence</w:t>
      </w:r>
      <w:r w:rsidR="008E4FB1">
        <w:rPr>
          <w:lang w:eastAsia="en-AU"/>
        </w:rPr>
        <w:t xml:space="preserve"> while on bail</w:t>
      </w:r>
      <w:r w:rsidRPr="008E4FB1">
        <w:rPr>
          <w:lang w:eastAsia="en-AU"/>
        </w:rPr>
        <w:t>.</w:t>
      </w:r>
      <w:r w:rsidR="008E4FB1" w:rsidRPr="008E4FB1">
        <w:rPr>
          <w:lang w:eastAsia="en-AU"/>
        </w:rPr>
        <w:t xml:space="preserve">  </w:t>
      </w:r>
    </w:p>
    <w:p w:rsidR="00731907" w:rsidRDefault="00E42591" w:rsidP="00E42591">
      <w:pPr>
        <w:rPr>
          <w:noProof/>
          <w:lang w:eastAsia="en-AU"/>
        </w:rPr>
      </w:pPr>
      <w:r>
        <w:rPr>
          <w:noProof/>
          <w:lang w:eastAsia="en-AU"/>
        </w:rPr>
        <w:t xml:space="preserve">Amendments to the </w:t>
      </w:r>
      <w:r w:rsidRPr="004A51DD">
        <w:rPr>
          <w:i/>
          <w:noProof/>
          <w:lang w:eastAsia="en-AU"/>
        </w:rPr>
        <w:t>Bail Act 1982</w:t>
      </w:r>
      <w:r>
        <w:rPr>
          <w:noProof/>
          <w:lang w:eastAsia="en-AU"/>
        </w:rPr>
        <w:t xml:space="preserve"> came into force on 2 March 2020, with breaches of bail conditions no longer representing an offence for youths.  </w:t>
      </w:r>
      <w:r w:rsidR="008E4FB1">
        <w:rPr>
          <w:noProof/>
          <w:lang w:eastAsia="en-AU"/>
        </w:rPr>
        <w:t>B</w:t>
      </w:r>
      <w:r w:rsidR="000F21F0">
        <w:rPr>
          <w:noProof/>
          <w:lang w:eastAsia="en-AU"/>
        </w:rPr>
        <w:t>ail issued following this period shows</w:t>
      </w:r>
      <w:r w:rsidR="00A91E29">
        <w:rPr>
          <w:noProof/>
          <w:lang w:eastAsia="en-AU"/>
        </w:rPr>
        <w:t xml:space="preserve"> a large decrease in the incidence of youths breaching bail</w:t>
      </w:r>
      <w:r w:rsidR="008E4FB1">
        <w:rPr>
          <w:noProof/>
          <w:lang w:eastAsia="en-AU"/>
        </w:rPr>
        <w:t>, and smaller decreases in the incidence of youths and adults offending while on bail</w:t>
      </w:r>
      <w:r w:rsidR="00A91E29">
        <w:rPr>
          <w:noProof/>
          <w:lang w:eastAsia="en-AU"/>
        </w:rPr>
        <w:t xml:space="preserve">.  </w:t>
      </w:r>
    </w:p>
    <w:p w:rsidR="00731907" w:rsidRDefault="00731907" w:rsidP="00E42591">
      <w:pPr>
        <w:rPr>
          <w:noProof/>
          <w:lang w:eastAsia="en-AU"/>
        </w:rPr>
      </w:pPr>
      <w:r>
        <w:rPr>
          <w:lang w:eastAsia="en-AU"/>
        </w:rPr>
        <w:t xml:space="preserve">Male gender, lower age, </w:t>
      </w:r>
      <w:r w:rsidR="00FF5608">
        <w:rPr>
          <w:lang w:eastAsia="en-AU"/>
        </w:rPr>
        <w:t xml:space="preserve">more prior periods in custody, more </w:t>
      </w:r>
      <w:r>
        <w:rPr>
          <w:lang w:eastAsia="en-AU"/>
        </w:rPr>
        <w:t>prior apprehensions, and being on bail for a violent offence were all associated with a significantly greater likelihood of new offending while on bail when other factors were held equal.  Bail commencing after March 2020 was less likely to involve new offending than bail commencing earlier, though this is expected to be a temporary outcome of the COVID</w:t>
      </w:r>
      <w:r w:rsidR="006A4732">
        <w:rPr>
          <w:lang w:eastAsia="en-AU"/>
        </w:rPr>
        <w:t>-</w:t>
      </w:r>
      <w:r>
        <w:rPr>
          <w:lang w:eastAsia="en-AU"/>
        </w:rPr>
        <w:t>19 restrictions.</w:t>
      </w:r>
    </w:p>
    <w:p w:rsidR="00731907" w:rsidRPr="00D02370" w:rsidRDefault="00731907" w:rsidP="00731907">
      <w:pPr>
        <w:rPr>
          <w:noProof/>
          <w:lang w:eastAsia="en-AU"/>
        </w:rPr>
      </w:pPr>
      <w:r>
        <w:rPr>
          <w:b/>
          <w:i/>
          <w:noProof/>
          <w:lang w:eastAsia="en-AU"/>
        </w:rPr>
        <w:t>Conclusions:</w:t>
      </w:r>
      <w:r>
        <w:rPr>
          <w:noProof/>
          <w:lang w:eastAsia="en-AU"/>
        </w:rPr>
        <w:t xml:space="preserve">  </w:t>
      </w:r>
      <w:r w:rsidR="00D02370">
        <w:rPr>
          <w:noProof/>
          <w:lang w:eastAsia="en-AU"/>
        </w:rPr>
        <w:t xml:space="preserve">This analysis provides insight into the risk of new offending occuring by defendants on bail, and identifies certain factors associated with an increased risk of offending.  Further work might consider the </w:t>
      </w:r>
      <w:r w:rsidR="004C03B3">
        <w:rPr>
          <w:noProof/>
          <w:lang w:eastAsia="en-AU"/>
        </w:rPr>
        <w:t xml:space="preserve">impact of electronic monitoring on new offending, the </w:t>
      </w:r>
      <w:r w:rsidR="00D02370">
        <w:rPr>
          <w:noProof/>
          <w:lang w:eastAsia="en-AU"/>
        </w:rPr>
        <w:t xml:space="preserve">severity of offences committed while on bail, and </w:t>
      </w:r>
      <w:r w:rsidR="004C03B3">
        <w:rPr>
          <w:noProof/>
          <w:lang w:eastAsia="en-AU"/>
        </w:rPr>
        <w:t>the factors associated with more serious offending.</w:t>
      </w:r>
    </w:p>
    <w:p w:rsidR="00E42591" w:rsidRDefault="00E42591" w:rsidP="00E42591">
      <w:pPr>
        <w:rPr>
          <w:rFonts w:asciiTheme="majorHAnsi" w:eastAsiaTheme="majorEastAsia" w:hAnsiTheme="majorHAnsi" w:cstheme="majorBidi"/>
          <w:bCs/>
          <w:color w:val="1F1F5F" w:themeColor="text1"/>
          <w:kern w:val="32"/>
          <w:sz w:val="36"/>
          <w:szCs w:val="32"/>
          <w:lang w:eastAsia="en-AU"/>
        </w:rPr>
      </w:pPr>
      <w:r>
        <w:rPr>
          <w:lang w:eastAsia="en-AU"/>
        </w:rPr>
        <w:br w:type="page"/>
      </w:r>
    </w:p>
    <w:p w:rsidR="004E0FD7" w:rsidRDefault="00E42591" w:rsidP="004E0FD7">
      <w:pPr>
        <w:pStyle w:val="Heading1"/>
        <w:rPr>
          <w:lang w:eastAsia="en-AU"/>
        </w:rPr>
      </w:pPr>
      <w:bookmarkStart w:id="1" w:name="_Toc72758044"/>
      <w:r>
        <w:rPr>
          <w:lang w:eastAsia="en-AU"/>
        </w:rPr>
        <w:lastRenderedPageBreak/>
        <w:t>Background</w:t>
      </w:r>
      <w:bookmarkEnd w:id="1"/>
    </w:p>
    <w:p w:rsidR="000F21F0" w:rsidRDefault="00E42591" w:rsidP="00E42591">
      <w:pPr>
        <w:rPr>
          <w:lang w:eastAsia="en-AU"/>
        </w:rPr>
      </w:pPr>
      <w:r>
        <w:rPr>
          <w:lang w:eastAsia="en-AU"/>
        </w:rPr>
        <w:t>Bail is an agreement, entered into by persons charged with offences, to come back to court for a hearing.  It allows individuals to remain in the community under specific conditions, rather than being remanded into custody.  Bail may be granted by the NT Police or by the Courts</w:t>
      </w:r>
      <w:r w:rsidR="000F21F0">
        <w:rPr>
          <w:lang w:eastAsia="en-AU"/>
        </w:rPr>
        <w:t xml:space="preserve">, and an individual may have periods of both remand and bail in the course of a single case.  </w:t>
      </w:r>
    </w:p>
    <w:p w:rsidR="00E42591" w:rsidRDefault="00E42591" w:rsidP="00E42591">
      <w:pPr>
        <w:rPr>
          <w:lang w:eastAsia="en-AU"/>
        </w:rPr>
      </w:pPr>
      <w:r>
        <w:rPr>
          <w:lang w:eastAsia="en-AU"/>
        </w:rPr>
        <w:t>One of the considerations taken into account in determining whether to grant bail is the likelihood of the individual committing an offence or breaching bail in some other fashion if bail is granted (</w:t>
      </w:r>
      <w:r>
        <w:rPr>
          <w:i/>
          <w:lang w:eastAsia="en-AU"/>
        </w:rPr>
        <w:t>Bail Act 1982</w:t>
      </w:r>
      <w:r w:rsidR="00566E07">
        <w:rPr>
          <w:lang w:eastAsia="en-AU"/>
        </w:rPr>
        <w:t>, Section 24(1</w:t>
      </w:r>
      <w:proofErr w:type="gramStart"/>
      <w:r w:rsidR="00566E07">
        <w:rPr>
          <w:lang w:eastAsia="en-AU"/>
        </w:rPr>
        <w:t>)(</w:t>
      </w:r>
      <w:proofErr w:type="gramEnd"/>
      <w:r w:rsidR="00566E07">
        <w:rPr>
          <w:lang w:eastAsia="en-AU"/>
        </w:rPr>
        <w:t>d)).</w:t>
      </w:r>
      <w:r w:rsidR="000F21F0">
        <w:rPr>
          <w:lang w:eastAsia="en-AU"/>
        </w:rPr>
        <w:t xml:space="preserve">  However, the likelihood of individuals offending while on bail, or otherwise failing to complete their bail, is not easily quantified due to the varying lengths of bail periods.</w:t>
      </w:r>
    </w:p>
    <w:p w:rsidR="00566E07" w:rsidRDefault="00566E07" w:rsidP="00E42591">
      <w:pPr>
        <w:rPr>
          <w:lang w:eastAsia="en-AU"/>
        </w:rPr>
      </w:pPr>
      <w:r>
        <w:rPr>
          <w:lang w:eastAsia="en-AU"/>
        </w:rPr>
        <w:t xml:space="preserve">Breach of bail became an offence for youth in the Northern Territory in May 2011, with a subsequent increase in the number of youths charged and placed in detention for breach of bail.  On 2 March 2020, an amendment to the </w:t>
      </w:r>
      <w:r w:rsidRPr="00566E07">
        <w:rPr>
          <w:i/>
          <w:lang w:eastAsia="en-AU"/>
        </w:rPr>
        <w:t>Bail Act 1982</w:t>
      </w:r>
      <w:r>
        <w:rPr>
          <w:lang w:eastAsia="en-AU"/>
        </w:rPr>
        <w:t xml:space="preserve"> came into force, removing breach of bail conditions as an offence for youth.  Breach of bail undertakings (failure to appear in court) remained an offence.</w:t>
      </w:r>
    </w:p>
    <w:p w:rsidR="00E42591" w:rsidRPr="00005051" w:rsidRDefault="00E42591" w:rsidP="00E42591">
      <w:pPr>
        <w:rPr>
          <w:lang w:eastAsia="en-AU"/>
        </w:rPr>
      </w:pPr>
      <w:r>
        <w:rPr>
          <w:lang w:eastAsia="en-AU"/>
        </w:rPr>
        <w:t xml:space="preserve">This analysis identifies the proportion of bail periods that </w:t>
      </w:r>
      <w:r w:rsidR="000F21F0">
        <w:rPr>
          <w:lang w:eastAsia="en-AU"/>
        </w:rPr>
        <w:t>result in</w:t>
      </w:r>
      <w:r>
        <w:rPr>
          <w:lang w:eastAsia="en-AU"/>
        </w:rPr>
        <w:t xml:space="preserve"> the commission of a new offence</w:t>
      </w:r>
      <w:r w:rsidR="00566E07">
        <w:rPr>
          <w:lang w:eastAsia="en-AU"/>
        </w:rPr>
        <w:t xml:space="preserve"> or</w:t>
      </w:r>
      <w:r>
        <w:rPr>
          <w:lang w:eastAsia="en-AU"/>
        </w:rPr>
        <w:t xml:space="preserve"> breach of bail</w:t>
      </w:r>
      <w:r w:rsidR="00566E07">
        <w:rPr>
          <w:lang w:eastAsia="en-AU"/>
        </w:rPr>
        <w:t xml:space="preserve"> </w:t>
      </w:r>
      <w:r>
        <w:rPr>
          <w:lang w:eastAsia="en-AU"/>
        </w:rPr>
        <w:t>while on bail, and examines factors associated with reoffending</w:t>
      </w:r>
      <w:r w:rsidR="00566E07">
        <w:rPr>
          <w:lang w:eastAsia="en-AU"/>
        </w:rPr>
        <w:t xml:space="preserve">, including the amendment to the </w:t>
      </w:r>
      <w:r w:rsidR="00566E07" w:rsidRPr="00566E07">
        <w:rPr>
          <w:i/>
          <w:lang w:eastAsia="en-AU"/>
        </w:rPr>
        <w:t>Bail Act 1982</w:t>
      </w:r>
      <w:r>
        <w:rPr>
          <w:lang w:eastAsia="en-AU"/>
        </w:rPr>
        <w:t xml:space="preserve">.  Offences allegedly committed after the defendant’s period of bail ends are </w:t>
      </w:r>
      <w:r w:rsidR="00566E07">
        <w:rPr>
          <w:lang w:eastAsia="en-AU"/>
        </w:rPr>
        <w:t>excluded</w:t>
      </w:r>
      <w:r>
        <w:rPr>
          <w:lang w:eastAsia="en-AU"/>
        </w:rPr>
        <w:t xml:space="preserve">.  </w:t>
      </w:r>
    </w:p>
    <w:p w:rsidR="00E42591" w:rsidRDefault="00E42591" w:rsidP="00E42591">
      <w:pPr>
        <w:pStyle w:val="Heading1"/>
        <w:rPr>
          <w:noProof/>
          <w:lang w:eastAsia="en-AU"/>
        </w:rPr>
      </w:pPr>
      <w:bookmarkStart w:id="2" w:name="_Toc56585820"/>
      <w:bookmarkStart w:id="3" w:name="_Toc72758045"/>
      <w:r>
        <w:rPr>
          <w:noProof/>
          <w:lang w:eastAsia="en-AU"/>
        </w:rPr>
        <w:t>Methods</w:t>
      </w:r>
      <w:bookmarkEnd w:id="2"/>
      <w:bookmarkEnd w:id="3"/>
    </w:p>
    <w:p w:rsidR="00E42591" w:rsidRPr="007D7860" w:rsidRDefault="00E42591" w:rsidP="00E42591">
      <w:pPr>
        <w:pStyle w:val="Heading2"/>
      </w:pPr>
      <w:bookmarkStart w:id="4" w:name="_Toc56585821"/>
      <w:bookmarkStart w:id="5" w:name="_Toc72758046"/>
      <w:r w:rsidRPr="007D7860">
        <w:t>Data</w:t>
      </w:r>
      <w:bookmarkEnd w:id="4"/>
      <w:bookmarkEnd w:id="5"/>
      <w:r w:rsidRPr="007D7860">
        <w:t xml:space="preserve"> </w:t>
      </w:r>
    </w:p>
    <w:p w:rsidR="00E42591" w:rsidRDefault="00E42591" w:rsidP="00E42591">
      <w:r>
        <w:t xml:space="preserve">This analysis used records of court bail granted by 28 August 2020 for cases created in 2019-20.  The bail data were extracted from </w:t>
      </w:r>
      <w:r w:rsidR="0078015B">
        <w:t>the Integrated Justice Information System (</w:t>
      </w:r>
      <w:r>
        <w:t>IJIS</w:t>
      </w:r>
      <w:r w:rsidR="0078015B">
        <w:t>)</w:t>
      </w:r>
      <w:r>
        <w:t xml:space="preserve"> on 31 August 2020 and cleaned by checking against case orders and other data to remove obvious errors in dates (e.g. bail </w:t>
      </w:r>
      <w:r w:rsidR="0078015B">
        <w:t>that ended</w:t>
      </w:r>
      <w:r>
        <w:t xml:space="preserve"> before the date granted, bail </w:t>
      </w:r>
      <w:r w:rsidR="0078015B">
        <w:t xml:space="preserve">that was </w:t>
      </w:r>
      <w:r>
        <w:t xml:space="preserve">granted before the case started).  Data were also checked against </w:t>
      </w:r>
      <w:r w:rsidR="0078015B">
        <w:t>prison records from the Integrated Offender Management System (IOMS)</w:t>
      </w:r>
      <w:r>
        <w:t>, as some bail was granted while the defendant was still in custody</w:t>
      </w:r>
      <w:r w:rsidR="002E1191">
        <w:t xml:space="preserve"> (in such cases, the bail start date was set to the discharge date)</w:t>
      </w:r>
      <w:r>
        <w:t xml:space="preserve">.  For each defendant, consecutive and/or overlapping grants of bail were combined into a single observation period.  </w:t>
      </w:r>
    </w:p>
    <w:p w:rsidR="00E42591" w:rsidRDefault="00E42591" w:rsidP="00E42591">
      <w:r>
        <w:t xml:space="preserve">The following covariates were included in the analysis:  </w:t>
      </w:r>
    </w:p>
    <w:p w:rsidR="00E42591" w:rsidRDefault="00E42591" w:rsidP="00E42591">
      <w:pPr>
        <w:pStyle w:val="ListParagraph"/>
        <w:numPr>
          <w:ilvl w:val="0"/>
          <w:numId w:val="43"/>
        </w:numPr>
        <w:rPr>
          <w:lang w:eastAsia="en-AU"/>
        </w:rPr>
      </w:pPr>
      <w:r>
        <w:t xml:space="preserve">the defendant’s age at the time bail was authorised; </w:t>
      </w:r>
    </w:p>
    <w:p w:rsidR="00E42591" w:rsidRDefault="00E42591" w:rsidP="00E42591">
      <w:pPr>
        <w:pStyle w:val="ListParagraph"/>
        <w:numPr>
          <w:ilvl w:val="0"/>
          <w:numId w:val="43"/>
        </w:numPr>
        <w:rPr>
          <w:lang w:eastAsia="en-AU"/>
        </w:rPr>
      </w:pPr>
      <w:r>
        <w:t xml:space="preserve">whether the defendant was an adult or youth for bail purposes (defendants with bail issued in the Youth Justice Court regardless of age, or in the Supreme Court when aged under 18, were classified as youth); </w:t>
      </w:r>
    </w:p>
    <w:p w:rsidR="00E42591" w:rsidRDefault="00E42591" w:rsidP="00E42591">
      <w:pPr>
        <w:pStyle w:val="ListParagraph"/>
        <w:numPr>
          <w:ilvl w:val="0"/>
          <w:numId w:val="43"/>
        </w:numPr>
        <w:rPr>
          <w:lang w:eastAsia="en-AU"/>
        </w:rPr>
      </w:pPr>
      <w:r>
        <w:t>the defendant’s gender and Aboriginal status;</w:t>
      </w:r>
    </w:p>
    <w:p w:rsidR="00E42591" w:rsidRDefault="00E42591" w:rsidP="00E42591">
      <w:pPr>
        <w:pStyle w:val="ListParagraph"/>
        <w:numPr>
          <w:ilvl w:val="0"/>
          <w:numId w:val="43"/>
        </w:numPr>
        <w:rPr>
          <w:lang w:eastAsia="en-AU"/>
        </w:rPr>
      </w:pPr>
      <w:r>
        <w:t>the number of instances in which the defendant had previously failed to appear in court</w:t>
      </w:r>
      <w:r>
        <w:rPr>
          <w:rStyle w:val="FootnoteReference"/>
        </w:rPr>
        <w:footnoteReference w:id="2"/>
      </w:r>
      <w:r>
        <w:t>;</w:t>
      </w:r>
    </w:p>
    <w:p w:rsidR="00E42591" w:rsidRDefault="00E42591" w:rsidP="00E42591">
      <w:pPr>
        <w:pStyle w:val="ListParagraph"/>
        <w:numPr>
          <w:ilvl w:val="0"/>
          <w:numId w:val="43"/>
        </w:numPr>
        <w:rPr>
          <w:lang w:eastAsia="en-AU"/>
        </w:rPr>
      </w:pPr>
      <w:r>
        <w:rPr>
          <w:lang w:eastAsia="en-AU"/>
        </w:rPr>
        <w:t>the category of the most serious offence for which the defendant was on bail (violent; property; drugs; driving/traffic; other);</w:t>
      </w:r>
    </w:p>
    <w:p w:rsidR="00E42591" w:rsidRDefault="00E42591" w:rsidP="00E42591">
      <w:pPr>
        <w:pStyle w:val="ListParagraph"/>
        <w:numPr>
          <w:ilvl w:val="0"/>
          <w:numId w:val="43"/>
        </w:numPr>
        <w:rPr>
          <w:lang w:eastAsia="en-AU"/>
        </w:rPr>
      </w:pPr>
      <w:r>
        <w:t>the number of prior apprehensions by Police;</w:t>
      </w:r>
    </w:p>
    <w:p w:rsidR="00E42591" w:rsidRDefault="00E42591" w:rsidP="00E42591">
      <w:pPr>
        <w:pStyle w:val="ListParagraph"/>
        <w:numPr>
          <w:ilvl w:val="0"/>
          <w:numId w:val="43"/>
        </w:numPr>
        <w:rPr>
          <w:lang w:eastAsia="en-AU"/>
        </w:rPr>
      </w:pPr>
      <w:r>
        <w:t xml:space="preserve">the number of prior </w:t>
      </w:r>
      <w:r w:rsidR="0078015B">
        <w:t xml:space="preserve">custodial </w:t>
      </w:r>
      <w:r>
        <w:t>episodes; and</w:t>
      </w:r>
    </w:p>
    <w:p w:rsidR="00E42591" w:rsidRDefault="00E42591" w:rsidP="00E42591">
      <w:pPr>
        <w:pStyle w:val="ListParagraph"/>
        <w:numPr>
          <w:ilvl w:val="0"/>
          <w:numId w:val="43"/>
        </w:numPr>
        <w:rPr>
          <w:lang w:eastAsia="en-AU"/>
        </w:rPr>
      </w:pPr>
      <w:proofErr w:type="gramStart"/>
      <w:r>
        <w:lastRenderedPageBreak/>
        <w:t>the</w:t>
      </w:r>
      <w:proofErr w:type="gramEnd"/>
      <w:r>
        <w:t xml:space="preserve"> number of instances in which the defendant had escaped from lawful custody or been unlawfully at large.</w:t>
      </w:r>
    </w:p>
    <w:p w:rsidR="00E42591" w:rsidRDefault="00E42591" w:rsidP="00E42591">
      <w:pPr>
        <w:rPr>
          <w:lang w:eastAsia="en-AU"/>
        </w:rPr>
      </w:pPr>
      <w:r>
        <w:rPr>
          <w:lang w:eastAsia="en-AU"/>
        </w:rPr>
        <w:t xml:space="preserve">All covariate </w:t>
      </w:r>
      <w:r w:rsidR="005D39D0">
        <w:rPr>
          <w:lang w:eastAsia="en-AU"/>
        </w:rPr>
        <w:t xml:space="preserve">and reoffending </w:t>
      </w:r>
      <w:r>
        <w:rPr>
          <w:lang w:eastAsia="en-AU"/>
        </w:rPr>
        <w:t>data were extracted from IJIS (apprehensions, offences, and court appearances) and IOMS (c</w:t>
      </w:r>
      <w:r w:rsidR="0078015B">
        <w:rPr>
          <w:lang w:eastAsia="en-AU"/>
        </w:rPr>
        <w:t>ustod</w:t>
      </w:r>
      <w:r>
        <w:rPr>
          <w:lang w:eastAsia="en-AU"/>
        </w:rPr>
        <w:t xml:space="preserve">ial episodes, </w:t>
      </w:r>
      <w:r w:rsidR="0078015B">
        <w:rPr>
          <w:lang w:eastAsia="en-AU"/>
        </w:rPr>
        <w:t xml:space="preserve">offender status, </w:t>
      </w:r>
      <w:r>
        <w:rPr>
          <w:lang w:eastAsia="en-AU"/>
        </w:rPr>
        <w:t>receptions</w:t>
      </w:r>
      <w:r w:rsidR="00055EFD">
        <w:rPr>
          <w:lang w:eastAsia="en-AU"/>
        </w:rPr>
        <w:t>, and discharges from custody).</w:t>
      </w:r>
    </w:p>
    <w:p w:rsidR="00E42591" w:rsidRDefault="00E42591" w:rsidP="00E42591">
      <w:pPr>
        <w:pStyle w:val="Heading2"/>
        <w:rPr>
          <w:lang w:eastAsia="en-AU"/>
        </w:rPr>
      </w:pPr>
      <w:bookmarkStart w:id="6" w:name="_Toc56585822"/>
      <w:bookmarkStart w:id="7" w:name="_Toc72758047"/>
      <w:r>
        <w:rPr>
          <w:lang w:eastAsia="en-AU"/>
        </w:rPr>
        <w:t>Analysis methods</w:t>
      </w:r>
      <w:bookmarkEnd w:id="6"/>
      <w:bookmarkEnd w:id="7"/>
    </w:p>
    <w:p w:rsidR="00B2197E" w:rsidRDefault="00B2197E" w:rsidP="00B2197E">
      <w:pPr>
        <w:rPr>
          <w:lang w:eastAsia="en-AU"/>
        </w:rPr>
      </w:pPr>
      <w:r>
        <w:rPr>
          <w:lang w:eastAsia="en-AU"/>
        </w:rPr>
        <w:t>Survival analysis uses time-to-event data to estimate the probability of an event occurring within a particular time period, and allows records for subjects who drop out of the analysis to be censored.  This makes it well-suited to bail data, where the length of time that individuals spend on bail</w:t>
      </w:r>
      <w:r w:rsidR="00A9372B">
        <w:rPr>
          <w:lang w:eastAsia="en-AU"/>
        </w:rPr>
        <w:t>, and hence the likelihood of committing a new offence,</w:t>
      </w:r>
      <w:r>
        <w:rPr>
          <w:lang w:eastAsia="en-AU"/>
        </w:rPr>
        <w:t xml:space="preserve"> varies greatly according to the time required to finalise the case.</w:t>
      </w:r>
    </w:p>
    <w:p w:rsidR="00E42591" w:rsidRDefault="00E42591" w:rsidP="00E42591">
      <w:r>
        <w:t>Defendants given bail were observed over the duration of the period that they remained on bail and scored according to outcome.  The observation period began on the date on which bail was initially authorised (or the date the person was released from custody, if bail was authorised while the person was in custody).  The observation period ended on the earliest of the following:  the date of the next offence allegedly committed; the date the person was next received into custody</w:t>
      </w:r>
      <w:r>
        <w:rPr>
          <w:rStyle w:val="FootnoteReference"/>
        </w:rPr>
        <w:footnoteReference w:id="3"/>
      </w:r>
      <w:r>
        <w:t xml:space="preserve">; the date the period of consecutive bail ended; or the date the </w:t>
      </w:r>
      <w:r w:rsidR="005D39D0">
        <w:t xml:space="preserve">reoffending </w:t>
      </w:r>
      <w:r>
        <w:t xml:space="preserve">data were extracted (2 September 2020).  </w:t>
      </w:r>
    </w:p>
    <w:p w:rsidR="00E42591" w:rsidRDefault="00E42591" w:rsidP="00E42591">
      <w:r>
        <w:t xml:space="preserve">Separate (non-overlapping) periods of bail for the same individual were treated as independent observations for the purposes of estimating the proportion of defendants who reoffended.  It is common to have some defendants appearing in separate, non-overlapping criminal cases within a year.  As a person’s criminal history is generally positively associated with the likelihood of reoffending, excluding repeat instances of bail for defendants could reduce the estimated likelihood of reoffending while on bail.   </w:t>
      </w:r>
    </w:p>
    <w:p w:rsidR="00E42591" w:rsidRDefault="00E42591" w:rsidP="00E42591">
      <w:pPr>
        <w:rPr>
          <w:lang w:eastAsia="en-AU"/>
        </w:rPr>
      </w:pPr>
      <w:r>
        <w:rPr>
          <w:lang w:eastAsia="en-AU"/>
        </w:rPr>
        <w:t>Survival analysis was used to determine the likelihood of bail resulting in a new justice-related incident.  Three types of incidents were considered:  commission of a new substantive offence (</w:t>
      </w:r>
      <w:r w:rsidR="00B2197E">
        <w:rPr>
          <w:lang w:eastAsia="en-AU"/>
        </w:rPr>
        <w:t>e.g. an offence other than breach of bail</w:t>
      </w:r>
      <w:r>
        <w:rPr>
          <w:lang w:eastAsia="en-AU"/>
        </w:rPr>
        <w:t>); commission of a breach of bail offence without a new substantive offence; and going into custody without having a new substantive offence or breach of bail offence recorded (for instance, for breach of a suspended sentence).  These outcomes were treated as competing risks in the analysis.</w:t>
      </w:r>
      <w:r w:rsidR="008D4775">
        <w:rPr>
          <w:lang w:eastAsia="en-AU"/>
        </w:rPr>
        <w:t xml:space="preserve">  The </w:t>
      </w:r>
      <w:proofErr w:type="spellStart"/>
      <w:r w:rsidR="008D4775" w:rsidRPr="00AF571B">
        <w:rPr>
          <w:i/>
          <w:lang w:eastAsia="en-AU"/>
        </w:rPr>
        <w:t>stcompet</w:t>
      </w:r>
      <w:proofErr w:type="spellEnd"/>
      <w:r w:rsidR="008D4775">
        <w:rPr>
          <w:lang w:eastAsia="en-AU"/>
        </w:rPr>
        <w:t xml:space="preserve"> procedure (</w:t>
      </w:r>
      <w:proofErr w:type="spellStart"/>
      <w:r w:rsidR="008D4775">
        <w:rPr>
          <w:lang w:eastAsia="en-AU"/>
        </w:rPr>
        <w:t>Coviello</w:t>
      </w:r>
      <w:proofErr w:type="spellEnd"/>
      <w:r w:rsidR="008D4775">
        <w:rPr>
          <w:lang w:eastAsia="en-AU"/>
        </w:rPr>
        <w:t>, 2003) was used to estimate the cumulative incidence of reoffending, breaching bail or going into custody while on bail.</w:t>
      </w:r>
    </w:p>
    <w:p w:rsidR="000B4DE0" w:rsidRDefault="000B4DE0" w:rsidP="00E42591">
      <w:pPr>
        <w:rPr>
          <w:lang w:eastAsia="en-AU"/>
        </w:rPr>
      </w:pPr>
      <w:r>
        <w:rPr>
          <w:lang w:eastAsia="en-AU"/>
        </w:rPr>
        <w:t xml:space="preserve">Competing risks regression, using the method of Fine and </w:t>
      </w:r>
      <w:proofErr w:type="spellStart"/>
      <w:r>
        <w:rPr>
          <w:lang w:eastAsia="en-AU"/>
        </w:rPr>
        <w:t>Gray</w:t>
      </w:r>
      <w:proofErr w:type="spellEnd"/>
      <w:r>
        <w:rPr>
          <w:lang w:eastAsia="en-AU"/>
        </w:rPr>
        <w:t xml:space="preserve"> (1999), was done to assess which covariates were significantly associated with the risk of offending while on bail.  This analysis used only the first </w:t>
      </w:r>
      <w:r w:rsidR="00055EFD">
        <w:rPr>
          <w:lang w:eastAsia="en-AU"/>
        </w:rPr>
        <w:t>consecutive bail period per individual in the dataset.</w:t>
      </w:r>
    </w:p>
    <w:p w:rsidR="00E42591" w:rsidRDefault="00B2197E" w:rsidP="00E42591">
      <w:pPr>
        <w:rPr>
          <w:lang w:eastAsia="en-AU"/>
        </w:rPr>
      </w:pPr>
      <w:r>
        <w:rPr>
          <w:lang w:eastAsia="en-AU"/>
        </w:rPr>
        <w:t>All analyses were done using Stata/IC 16.0</w:t>
      </w:r>
      <w:r w:rsidR="008D4775">
        <w:rPr>
          <w:lang w:eastAsia="en-AU"/>
        </w:rPr>
        <w:t>.</w:t>
      </w:r>
    </w:p>
    <w:p w:rsidR="00E42591" w:rsidRDefault="00E42591" w:rsidP="00E42591">
      <w:pPr>
        <w:pStyle w:val="Heading1"/>
        <w:rPr>
          <w:lang w:eastAsia="en-AU"/>
        </w:rPr>
      </w:pPr>
      <w:bookmarkStart w:id="8" w:name="_Toc56585823"/>
      <w:bookmarkStart w:id="9" w:name="_Toc72758048"/>
      <w:r>
        <w:rPr>
          <w:lang w:eastAsia="en-AU"/>
        </w:rPr>
        <w:t>Results</w:t>
      </w:r>
      <w:bookmarkEnd w:id="8"/>
      <w:bookmarkEnd w:id="9"/>
    </w:p>
    <w:p w:rsidR="00E42591" w:rsidRPr="00480B56" w:rsidRDefault="00E42591" w:rsidP="001903C4">
      <w:pPr>
        <w:pStyle w:val="Heading2"/>
        <w:rPr>
          <w:lang w:eastAsia="en-AU"/>
        </w:rPr>
      </w:pPr>
      <w:bookmarkStart w:id="10" w:name="_Toc56585824"/>
      <w:bookmarkStart w:id="11" w:name="_Toc72758049"/>
      <w:r>
        <w:rPr>
          <w:lang w:eastAsia="en-AU"/>
        </w:rPr>
        <w:t>Sample Description</w:t>
      </w:r>
      <w:bookmarkEnd w:id="10"/>
      <w:bookmarkEnd w:id="11"/>
    </w:p>
    <w:p w:rsidR="00E42591" w:rsidRDefault="00E42591" w:rsidP="00E42591">
      <w:pPr>
        <w:rPr>
          <w:lang w:eastAsia="en-AU"/>
        </w:rPr>
      </w:pPr>
      <w:r>
        <w:rPr>
          <w:lang w:eastAsia="en-AU"/>
        </w:rPr>
        <w:t xml:space="preserve">Bail was granted to </w:t>
      </w:r>
      <w:r w:rsidRPr="000D7524">
        <w:rPr>
          <w:lang w:eastAsia="en-AU"/>
        </w:rPr>
        <w:t>2,4</w:t>
      </w:r>
      <w:r w:rsidR="000D7524" w:rsidRPr="000D7524">
        <w:rPr>
          <w:lang w:eastAsia="en-AU"/>
        </w:rPr>
        <w:t>48</w:t>
      </w:r>
      <w:r w:rsidRPr="000D7524">
        <w:rPr>
          <w:lang w:eastAsia="en-AU"/>
        </w:rPr>
        <w:t xml:space="preserve"> individuals in 2,92</w:t>
      </w:r>
      <w:r w:rsidR="000D7524" w:rsidRPr="000D7524">
        <w:rPr>
          <w:lang w:eastAsia="en-AU"/>
        </w:rPr>
        <w:t>6</w:t>
      </w:r>
      <w:r w:rsidRPr="000D7524">
        <w:rPr>
          <w:lang w:eastAsia="en-AU"/>
        </w:rPr>
        <w:t xml:space="preserve"> separate periods for cases created in 2019-20 (</w:t>
      </w:r>
      <w:r w:rsidRPr="000D7524">
        <w:rPr>
          <w:lang w:eastAsia="en-AU"/>
        </w:rPr>
        <w:fldChar w:fldCharType="begin"/>
      </w:r>
      <w:r w:rsidRPr="000D7524">
        <w:rPr>
          <w:lang w:eastAsia="en-AU"/>
        </w:rPr>
        <w:instrText xml:space="preserve"> REF _Ref51060342 \h  \* MERGEFORMAT </w:instrText>
      </w:r>
      <w:r w:rsidRPr="000D7524">
        <w:rPr>
          <w:lang w:eastAsia="en-AU"/>
        </w:rPr>
      </w:r>
      <w:r w:rsidRPr="000D7524">
        <w:rPr>
          <w:lang w:eastAsia="en-AU"/>
        </w:rPr>
        <w:fldChar w:fldCharType="separate"/>
      </w:r>
      <w:r w:rsidR="00552D9D">
        <w:t xml:space="preserve">Table </w:t>
      </w:r>
      <w:r w:rsidR="00552D9D">
        <w:rPr>
          <w:noProof/>
        </w:rPr>
        <w:t>1</w:t>
      </w:r>
      <w:r w:rsidRPr="000D7524">
        <w:rPr>
          <w:lang w:eastAsia="en-AU"/>
        </w:rPr>
        <w:fldChar w:fldCharType="end"/>
      </w:r>
      <w:r w:rsidRPr="000D7524">
        <w:rPr>
          <w:lang w:eastAsia="en-AU"/>
        </w:rPr>
        <w:t>).  Of these, 40</w:t>
      </w:r>
      <w:r w:rsidR="000D7524" w:rsidRPr="000D7524">
        <w:rPr>
          <w:lang w:eastAsia="en-AU"/>
        </w:rPr>
        <w:t>6</w:t>
      </w:r>
      <w:r w:rsidRPr="000D7524">
        <w:rPr>
          <w:lang w:eastAsia="en-AU"/>
        </w:rPr>
        <w:t xml:space="preserve"> periods of bail (14%) were granted to 272 youths, and 2,5</w:t>
      </w:r>
      <w:r w:rsidR="000D7524" w:rsidRPr="000D7524">
        <w:rPr>
          <w:lang w:eastAsia="en-AU"/>
        </w:rPr>
        <w:t>20</w:t>
      </w:r>
      <w:r w:rsidRPr="000D7524">
        <w:rPr>
          <w:lang w:eastAsia="en-AU"/>
        </w:rPr>
        <w:t xml:space="preserve"> periods of bail (86%) were granted to 2,1</w:t>
      </w:r>
      <w:r w:rsidR="000D7524" w:rsidRPr="000D7524">
        <w:rPr>
          <w:lang w:eastAsia="en-AU"/>
        </w:rPr>
        <w:t>80</w:t>
      </w:r>
      <w:r w:rsidRPr="000D7524">
        <w:rPr>
          <w:lang w:eastAsia="en-AU"/>
        </w:rPr>
        <w:t xml:space="preserve"> adults.   Four individuals had bail authorised both as a youth in the Youth Justice Court and as an adult in the Local Court.  Hence, the total number of individuals is slightly less than the sum of youths and adults.  Youths averaged 1.5 periods of bail per person, and adults averaged 1.2 per person</w:t>
      </w:r>
      <w:r>
        <w:rPr>
          <w:lang w:eastAsia="en-AU"/>
        </w:rPr>
        <w:t>.</w:t>
      </w:r>
    </w:p>
    <w:p w:rsidR="00E42591" w:rsidRDefault="00E42591" w:rsidP="00E42591">
      <w:pPr>
        <w:pStyle w:val="Caption"/>
        <w:keepNext/>
      </w:pPr>
      <w:bookmarkStart w:id="12" w:name="_Ref51060342"/>
      <w:r>
        <w:lastRenderedPageBreak/>
        <w:t xml:space="preserve">Table </w:t>
      </w:r>
      <w:r w:rsidR="00111DFE">
        <w:fldChar w:fldCharType="begin"/>
      </w:r>
      <w:r w:rsidR="00111DFE">
        <w:instrText xml:space="preserve"> SEQ Table \* ARABIC </w:instrText>
      </w:r>
      <w:r w:rsidR="00111DFE">
        <w:fldChar w:fldCharType="separate"/>
      </w:r>
      <w:r w:rsidR="00552D9D">
        <w:rPr>
          <w:noProof/>
        </w:rPr>
        <w:t>1</w:t>
      </w:r>
      <w:r w:rsidR="00111DFE">
        <w:rPr>
          <w:noProof/>
        </w:rPr>
        <w:fldChar w:fldCharType="end"/>
      </w:r>
      <w:bookmarkEnd w:id="12"/>
      <w:r>
        <w:t>.  Periods of bail granted by age and demographic group (numbers of individuals in brackets)</w:t>
      </w:r>
    </w:p>
    <w:tbl>
      <w:tblPr>
        <w:tblStyle w:val="NTGtable1"/>
        <w:tblW w:w="10343" w:type="dxa"/>
        <w:tblLayout w:type="fixed"/>
        <w:tblCellMar>
          <w:left w:w="57" w:type="dxa"/>
          <w:right w:w="57" w:type="dxa"/>
        </w:tblCellMar>
        <w:tblLook w:val="04A0" w:firstRow="1" w:lastRow="0" w:firstColumn="1" w:lastColumn="0" w:noHBand="0" w:noVBand="1"/>
      </w:tblPr>
      <w:tblGrid>
        <w:gridCol w:w="849"/>
        <w:gridCol w:w="1842"/>
        <w:gridCol w:w="1702"/>
        <w:gridCol w:w="2265"/>
        <w:gridCol w:w="2126"/>
        <w:gridCol w:w="1559"/>
      </w:tblGrid>
      <w:tr w:rsidR="0078015B" w:rsidRPr="0078015B" w:rsidTr="00DC56A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849" w:type="dxa"/>
            <w:noWrap/>
            <w:hideMark/>
          </w:tcPr>
          <w:p w:rsidR="00E42591" w:rsidRPr="0078015B" w:rsidRDefault="00E42591" w:rsidP="008F4E6C">
            <w:pPr>
              <w:spacing w:after="0"/>
              <w:rPr>
                <w:rFonts w:ascii="Calibri" w:eastAsia="Times New Roman" w:hAnsi="Calibri" w:cs="Calibri"/>
                <w:bCs/>
                <w:lang w:eastAsia="en-AU"/>
              </w:rPr>
            </w:pPr>
            <w:r w:rsidRPr="0078015B">
              <w:rPr>
                <w:rFonts w:ascii="Calibri" w:eastAsia="Times New Roman" w:hAnsi="Calibri" w:cs="Calibri"/>
                <w:bCs/>
                <w:lang w:eastAsia="en-AU"/>
              </w:rPr>
              <w:t>Age</w:t>
            </w:r>
          </w:p>
        </w:tc>
        <w:tc>
          <w:tcPr>
            <w:tcW w:w="1842"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Aboriginal female</w:t>
            </w:r>
          </w:p>
        </w:tc>
        <w:tc>
          <w:tcPr>
            <w:tcW w:w="1702"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Aboriginal male</w:t>
            </w:r>
          </w:p>
        </w:tc>
        <w:tc>
          <w:tcPr>
            <w:tcW w:w="2265"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Non-Aboriginal female</w:t>
            </w:r>
          </w:p>
        </w:tc>
        <w:tc>
          <w:tcPr>
            <w:tcW w:w="2126"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Non-Aboriginal male</w:t>
            </w:r>
          </w:p>
        </w:tc>
        <w:tc>
          <w:tcPr>
            <w:tcW w:w="1559"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Total</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Youth</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6</w:t>
            </w:r>
            <w:r w:rsidR="000D7524" w:rsidRPr="00055EFD">
              <w:rPr>
                <w:rFonts w:ascii="Calibri" w:eastAsia="Times New Roman" w:hAnsi="Calibri" w:cs="Calibri"/>
                <w:b/>
                <w:bCs/>
                <w:color w:val="000000"/>
                <w:lang w:eastAsia="en-AU"/>
              </w:rPr>
              <w:t>6</w:t>
            </w:r>
            <w:r w:rsidRPr="00055EFD">
              <w:rPr>
                <w:rFonts w:ascii="Calibri" w:eastAsia="Times New Roman" w:hAnsi="Calibri" w:cs="Calibri"/>
                <w:b/>
                <w:bCs/>
                <w:color w:val="000000"/>
                <w:lang w:eastAsia="en-AU"/>
              </w:rPr>
              <w:t xml:space="preserve"> (43)</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314 (207)</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4 (4)</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22 (18)</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40</w:t>
            </w:r>
            <w:r w:rsidR="00150540" w:rsidRPr="00055EFD">
              <w:rPr>
                <w:rFonts w:ascii="Calibri" w:eastAsia="Times New Roman" w:hAnsi="Calibri" w:cs="Calibri"/>
                <w:b/>
                <w:bCs/>
                <w:color w:val="000000"/>
                <w:lang w:eastAsia="en-AU"/>
              </w:rPr>
              <w:t>6</w:t>
            </w:r>
            <w:r w:rsidRPr="00055EFD">
              <w:rPr>
                <w:rFonts w:ascii="Calibri" w:eastAsia="Times New Roman" w:hAnsi="Calibri" w:cs="Calibri"/>
                <w:b/>
                <w:bCs/>
                <w:color w:val="000000"/>
                <w:lang w:eastAsia="en-AU"/>
              </w:rPr>
              <w:t xml:space="preserve"> (272)</w:t>
            </w:r>
          </w:p>
        </w:tc>
      </w:tr>
      <w:tr w:rsidR="00E42591" w:rsidRPr="00055EFD"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10-11</w:t>
            </w:r>
          </w:p>
        </w:tc>
        <w:tc>
          <w:tcPr>
            <w:tcW w:w="184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0 (0)</w:t>
            </w:r>
          </w:p>
        </w:tc>
        <w:tc>
          <w:tcPr>
            <w:tcW w:w="170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6 (5)</w:t>
            </w:r>
          </w:p>
        </w:tc>
        <w:tc>
          <w:tcPr>
            <w:tcW w:w="2265"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0 (0)</w:t>
            </w:r>
          </w:p>
        </w:tc>
        <w:tc>
          <w:tcPr>
            <w:tcW w:w="2126"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lang w:eastAsia="en-AU"/>
              </w:rPr>
            </w:pPr>
            <w:r w:rsidRPr="00055EFD">
              <w:rPr>
                <w:rFonts w:ascii="Calibri" w:eastAsia="Times New Roman" w:hAnsi="Calibri" w:cs="Calibri"/>
                <w:color w:val="000000"/>
                <w:lang w:eastAsia="en-AU"/>
              </w:rPr>
              <w:t>0 (0)</w:t>
            </w:r>
          </w:p>
        </w:tc>
        <w:tc>
          <w:tcPr>
            <w:tcW w:w="1559"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6 (5)</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12-13</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11 (9)</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35 (22)</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 (1)</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4 (1)</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51 (33)</w:t>
            </w:r>
          </w:p>
        </w:tc>
      </w:tr>
      <w:tr w:rsidR="00E42591" w:rsidRPr="00055EFD"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14-15</w:t>
            </w:r>
          </w:p>
        </w:tc>
        <w:tc>
          <w:tcPr>
            <w:tcW w:w="184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3</w:t>
            </w:r>
            <w:r w:rsidR="00150540" w:rsidRPr="00055EFD">
              <w:rPr>
                <w:rFonts w:ascii="Calibri" w:eastAsia="Times New Roman" w:hAnsi="Calibri" w:cs="Calibri"/>
                <w:color w:val="000000"/>
                <w:lang w:eastAsia="en-AU"/>
              </w:rPr>
              <w:t>4</w:t>
            </w:r>
            <w:r w:rsidRPr="00055EFD">
              <w:rPr>
                <w:rFonts w:ascii="Calibri" w:eastAsia="Times New Roman" w:hAnsi="Calibri" w:cs="Calibri"/>
                <w:color w:val="000000"/>
                <w:lang w:eastAsia="en-AU"/>
              </w:rPr>
              <w:t xml:space="preserve"> (18)</w:t>
            </w:r>
          </w:p>
        </w:tc>
        <w:tc>
          <w:tcPr>
            <w:tcW w:w="170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112 (70)</w:t>
            </w:r>
          </w:p>
        </w:tc>
        <w:tc>
          <w:tcPr>
            <w:tcW w:w="2265"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0 (0)</w:t>
            </w:r>
          </w:p>
        </w:tc>
        <w:tc>
          <w:tcPr>
            <w:tcW w:w="2126"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8 (8)</w:t>
            </w:r>
          </w:p>
        </w:tc>
        <w:tc>
          <w:tcPr>
            <w:tcW w:w="1559"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15</w:t>
            </w:r>
            <w:r w:rsidR="00150540" w:rsidRPr="00055EFD">
              <w:rPr>
                <w:rFonts w:ascii="Calibri" w:eastAsia="Times New Roman" w:hAnsi="Calibri" w:cs="Calibri"/>
                <w:color w:val="000000"/>
                <w:lang w:eastAsia="en-AU"/>
              </w:rPr>
              <w:t>4</w:t>
            </w:r>
            <w:r w:rsidRPr="00055EFD">
              <w:rPr>
                <w:rFonts w:ascii="Calibri" w:eastAsia="Times New Roman" w:hAnsi="Calibri" w:cs="Calibri"/>
                <w:color w:val="000000"/>
                <w:lang w:eastAsia="en-AU"/>
              </w:rPr>
              <w:t xml:space="preserve"> (96)</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16-17</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20 (15)</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146 (100)</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2 (2)</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10 (9)</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178 (126)</w:t>
            </w:r>
          </w:p>
        </w:tc>
      </w:tr>
      <w:tr w:rsidR="00E42591" w:rsidRPr="00055EFD"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18-24</w:t>
            </w:r>
          </w:p>
        </w:tc>
        <w:tc>
          <w:tcPr>
            <w:tcW w:w="1842" w:type="dxa"/>
            <w:noWrap/>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 (1)</w:t>
            </w:r>
          </w:p>
        </w:tc>
        <w:tc>
          <w:tcPr>
            <w:tcW w:w="1702" w:type="dxa"/>
            <w:noWrap/>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15 (10)</w:t>
            </w:r>
          </w:p>
        </w:tc>
        <w:tc>
          <w:tcPr>
            <w:tcW w:w="2265" w:type="dxa"/>
            <w:noWrap/>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 (1)</w:t>
            </w:r>
          </w:p>
        </w:tc>
        <w:tc>
          <w:tcPr>
            <w:tcW w:w="2126" w:type="dxa"/>
            <w:noWrap/>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0 (0)</w:t>
            </w:r>
          </w:p>
        </w:tc>
        <w:tc>
          <w:tcPr>
            <w:tcW w:w="1559" w:type="dxa"/>
            <w:noWrap/>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17 (12)</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Adults</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51</w:t>
            </w:r>
            <w:r w:rsidR="00150540" w:rsidRPr="00055EFD">
              <w:rPr>
                <w:rFonts w:ascii="Calibri" w:eastAsia="Times New Roman" w:hAnsi="Calibri" w:cs="Calibri"/>
                <w:b/>
                <w:bCs/>
                <w:color w:val="000000"/>
                <w:lang w:eastAsia="en-AU"/>
              </w:rPr>
              <w:t>5</w:t>
            </w:r>
            <w:r w:rsidRPr="00055EFD">
              <w:rPr>
                <w:rFonts w:ascii="Calibri" w:eastAsia="Times New Roman" w:hAnsi="Calibri" w:cs="Calibri"/>
                <w:b/>
                <w:bCs/>
                <w:color w:val="000000"/>
                <w:lang w:eastAsia="en-AU"/>
              </w:rPr>
              <w:t xml:space="preserve"> (43</w:t>
            </w:r>
            <w:r w:rsidR="00150540" w:rsidRPr="00055EFD">
              <w:rPr>
                <w:rFonts w:ascii="Calibri" w:eastAsia="Times New Roman" w:hAnsi="Calibri" w:cs="Calibri"/>
                <w:b/>
                <w:bCs/>
                <w:color w:val="000000"/>
                <w:lang w:eastAsia="en-AU"/>
              </w:rPr>
              <w:t>5</w:t>
            </w:r>
            <w:r w:rsidRPr="00055EFD">
              <w:rPr>
                <w:rFonts w:ascii="Calibri" w:eastAsia="Times New Roman" w:hAnsi="Calibri" w:cs="Calibri"/>
                <w:b/>
                <w:bCs/>
                <w:color w:val="000000"/>
                <w:lang w:eastAsia="en-AU"/>
              </w:rPr>
              <w:t>)</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1,490 (1,291)</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89 (80)</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426 (374)</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2,5</w:t>
            </w:r>
            <w:r w:rsidR="00150540" w:rsidRPr="00055EFD">
              <w:rPr>
                <w:rFonts w:ascii="Calibri" w:eastAsia="Times New Roman" w:hAnsi="Calibri" w:cs="Calibri"/>
                <w:b/>
                <w:bCs/>
                <w:color w:val="000000"/>
                <w:lang w:eastAsia="en-AU"/>
              </w:rPr>
              <w:t>20</w:t>
            </w:r>
            <w:r w:rsidRPr="00055EFD">
              <w:rPr>
                <w:rFonts w:ascii="Calibri" w:eastAsia="Times New Roman" w:hAnsi="Calibri" w:cs="Calibri"/>
                <w:b/>
                <w:bCs/>
                <w:color w:val="000000"/>
                <w:lang w:eastAsia="en-AU"/>
              </w:rPr>
              <w:t xml:space="preserve"> (2,1</w:t>
            </w:r>
            <w:r w:rsidR="00150540" w:rsidRPr="00055EFD">
              <w:rPr>
                <w:rFonts w:ascii="Calibri" w:eastAsia="Times New Roman" w:hAnsi="Calibri" w:cs="Calibri"/>
                <w:b/>
                <w:bCs/>
                <w:color w:val="000000"/>
                <w:lang w:eastAsia="en-AU"/>
              </w:rPr>
              <w:t>80</w:t>
            </w:r>
            <w:r w:rsidRPr="00055EFD">
              <w:rPr>
                <w:rFonts w:ascii="Calibri" w:eastAsia="Times New Roman" w:hAnsi="Calibri" w:cs="Calibri"/>
                <w:b/>
                <w:bCs/>
                <w:color w:val="000000"/>
                <w:lang w:eastAsia="en-AU"/>
              </w:rPr>
              <w:t>)</w:t>
            </w:r>
          </w:p>
        </w:tc>
      </w:tr>
      <w:tr w:rsidR="00E42591" w:rsidRPr="00055EFD"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18-24</w:t>
            </w:r>
          </w:p>
        </w:tc>
        <w:tc>
          <w:tcPr>
            <w:tcW w:w="184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9</w:t>
            </w:r>
            <w:r w:rsidR="00150540" w:rsidRPr="00055EFD">
              <w:rPr>
                <w:rFonts w:ascii="Calibri" w:eastAsia="Times New Roman" w:hAnsi="Calibri" w:cs="Calibri"/>
                <w:color w:val="000000"/>
                <w:lang w:eastAsia="en-AU"/>
              </w:rPr>
              <w:t>3</w:t>
            </w:r>
            <w:r w:rsidRPr="00055EFD">
              <w:rPr>
                <w:rFonts w:ascii="Calibri" w:eastAsia="Times New Roman" w:hAnsi="Calibri" w:cs="Calibri"/>
                <w:color w:val="000000"/>
                <w:lang w:eastAsia="en-AU"/>
              </w:rPr>
              <w:t xml:space="preserve"> (8</w:t>
            </w:r>
            <w:r w:rsidR="00150540" w:rsidRPr="00055EFD">
              <w:rPr>
                <w:rFonts w:ascii="Calibri" w:eastAsia="Times New Roman" w:hAnsi="Calibri" w:cs="Calibri"/>
                <w:color w:val="000000"/>
                <w:lang w:eastAsia="en-AU"/>
              </w:rPr>
              <w:t>2</w:t>
            </w:r>
            <w:r w:rsidRPr="00055EFD">
              <w:rPr>
                <w:rFonts w:ascii="Calibri" w:eastAsia="Times New Roman" w:hAnsi="Calibri" w:cs="Calibri"/>
                <w:color w:val="000000"/>
                <w:lang w:eastAsia="en-AU"/>
              </w:rPr>
              <w:t>)</w:t>
            </w:r>
          </w:p>
        </w:tc>
        <w:tc>
          <w:tcPr>
            <w:tcW w:w="170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479 (399)</w:t>
            </w:r>
          </w:p>
        </w:tc>
        <w:tc>
          <w:tcPr>
            <w:tcW w:w="2265"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14 (14)</w:t>
            </w:r>
          </w:p>
        </w:tc>
        <w:tc>
          <w:tcPr>
            <w:tcW w:w="2126"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79 (69)</w:t>
            </w:r>
          </w:p>
        </w:tc>
        <w:tc>
          <w:tcPr>
            <w:tcW w:w="1559"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66</w:t>
            </w:r>
            <w:r w:rsidR="00150540" w:rsidRPr="00055EFD">
              <w:rPr>
                <w:rFonts w:ascii="Calibri" w:eastAsia="Times New Roman" w:hAnsi="Calibri" w:cs="Calibri"/>
                <w:color w:val="000000"/>
                <w:lang w:eastAsia="en-AU"/>
              </w:rPr>
              <w:t>5</w:t>
            </w:r>
            <w:r w:rsidRPr="00055EFD">
              <w:rPr>
                <w:rFonts w:ascii="Calibri" w:eastAsia="Times New Roman" w:hAnsi="Calibri" w:cs="Calibri"/>
                <w:color w:val="000000"/>
                <w:lang w:eastAsia="en-AU"/>
              </w:rPr>
              <w:t xml:space="preserve"> (56</w:t>
            </w:r>
            <w:r w:rsidR="00150540" w:rsidRPr="00055EFD">
              <w:rPr>
                <w:rFonts w:ascii="Calibri" w:eastAsia="Times New Roman" w:hAnsi="Calibri" w:cs="Calibri"/>
                <w:color w:val="000000"/>
                <w:lang w:eastAsia="en-AU"/>
              </w:rPr>
              <w:t>4</w:t>
            </w:r>
            <w:r w:rsidRPr="00055EFD">
              <w:rPr>
                <w:rFonts w:ascii="Calibri" w:eastAsia="Times New Roman" w:hAnsi="Calibri" w:cs="Calibri"/>
                <w:color w:val="000000"/>
                <w:lang w:eastAsia="en-AU"/>
              </w:rPr>
              <w:t>)</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25-34</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216 (183)</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499 (442)</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37 (33)</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137 (120)</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889 (778)</w:t>
            </w:r>
          </w:p>
        </w:tc>
      </w:tr>
      <w:tr w:rsidR="00E42591" w:rsidRPr="00055EFD"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35-44</w:t>
            </w:r>
          </w:p>
        </w:tc>
        <w:tc>
          <w:tcPr>
            <w:tcW w:w="184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143 (117)</w:t>
            </w:r>
          </w:p>
        </w:tc>
        <w:tc>
          <w:tcPr>
            <w:tcW w:w="170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337 (297)</w:t>
            </w:r>
          </w:p>
        </w:tc>
        <w:tc>
          <w:tcPr>
            <w:tcW w:w="2265"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27 (22)</w:t>
            </w:r>
          </w:p>
        </w:tc>
        <w:tc>
          <w:tcPr>
            <w:tcW w:w="2126"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106 (93)</w:t>
            </w:r>
          </w:p>
        </w:tc>
        <w:tc>
          <w:tcPr>
            <w:tcW w:w="1559"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613 (529)</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45-54</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57 (48)</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129 (112)</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8 (8)</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70 (60)</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264 (228)</w:t>
            </w:r>
          </w:p>
        </w:tc>
      </w:tr>
      <w:tr w:rsidR="00E42591" w:rsidRPr="00055EFD"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color w:val="000000"/>
                <w:lang w:eastAsia="en-AU"/>
              </w:rPr>
            </w:pPr>
            <w:r w:rsidRPr="00055EFD">
              <w:rPr>
                <w:rFonts w:ascii="Calibri" w:eastAsia="Times New Roman" w:hAnsi="Calibri" w:cs="Calibri"/>
                <w:color w:val="000000"/>
                <w:lang w:eastAsia="en-AU"/>
              </w:rPr>
              <w:t>55+</w:t>
            </w:r>
          </w:p>
        </w:tc>
        <w:tc>
          <w:tcPr>
            <w:tcW w:w="184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6 (5)</w:t>
            </w:r>
          </w:p>
        </w:tc>
        <w:tc>
          <w:tcPr>
            <w:tcW w:w="1702"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46 (41)</w:t>
            </w:r>
          </w:p>
        </w:tc>
        <w:tc>
          <w:tcPr>
            <w:tcW w:w="2265"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3 (3)</w:t>
            </w:r>
          </w:p>
        </w:tc>
        <w:tc>
          <w:tcPr>
            <w:tcW w:w="2126"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34 (32)</w:t>
            </w:r>
          </w:p>
        </w:tc>
        <w:tc>
          <w:tcPr>
            <w:tcW w:w="1559" w:type="dxa"/>
            <w:noWrap/>
            <w:hideMark/>
          </w:tcPr>
          <w:p w:rsidR="00E42591" w:rsidRPr="00055EFD" w:rsidRDefault="00E4259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055EFD">
              <w:rPr>
                <w:rFonts w:ascii="Calibri" w:eastAsia="Times New Roman" w:hAnsi="Calibri" w:cs="Calibri"/>
                <w:color w:val="000000"/>
                <w:lang w:eastAsia="en-AU"/>
              </w:rPr>
              <w:t>89 (81)</w:t>
            </w:r>
          </w:p>
        </w:tc>
      </w:tr>
      <w:tr w:rsidR="00E42591" w:rsidRPr="00055EFD"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E42591" w:rsidRPr="00055EFD" w:rsidRDefault="00E42591" w:rsidP="008F4E6C">
            <w:pPr>
              <w:spacing w:after="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Total</w:t>
            </w:r>
          </w:p>
        </w:tc>
        <w:tc>
          <w:tcPr>
            <w:tcW w:w="184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5</w:t>
            </w:r>
            <w:r w:rsidR="00150540" w:rsidRPr="00055EFD">
              <w:rPr>
                <w:rFonts w:ascii="Calibri" w:eastAsia="Times New Roman" w:hAnsi="Calibri" w:cs="Calibri"/>
                <w:b/>
                <w:bCs/>
                <w:color w:val="000000"/>
                <w:lang w:eastAsia="en-AU"/>
              </w:rPr>
              <w:t>81</w:t>
            </w:r>
            <w:r w:rsidRPr="00055EFD">
              <w:rPr>
                <w:rFonts w:ascii="Calibri" w:eastAsia="Times New Roman" w:hAnsi="Calibri" w:cs="Calibri"/>
                <w:b/>
                <w:bCs/>
                <w:color w:val="000000"/>
                <w:lang w:eastAsia="en-AU"/>
              </w:rPr>
              <w:t xml:space="preserve"> (47</w:t>
            </w:r>
            <w:r w:rsidR="00150540" w:rsidRPr="00055EFD">
              <w:rPr>
                <w:rFonts w:ascii="Calibri" w:eastAsia="Times New Roman" w:hAnsi="Calibri" w:cs="Calibri"/>
                <w:b/>
                <w:bCs/>
                <w:color w:val="000000"/>
                <w:lang w:eastAsia="en-AU"/>
              </w:rPr>
              <w:t>8</w:t>
            </w:r>
            <w:r w:rsidRPr="00055EFD">
              <w:rPr>
                <w:rFonts w:ascii="Calibri" w:eastAsia="Times New Roman" w:hAnsi="Calibri" w:cs="Calibri"/>
                <w:b/>
                <w:bCs/>
                <w:color w:val="000000"/>
                <w:lang w:eastAsia="en-AU"/>
              </w:rPr>
              <w:t>)</w:t>
            </w:r>
          </w:p>
        </w:tc>
        <w:tc>
          <w:tcPr>
            <w:tcW w:w="1702"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1,804 (1,494)</w:t>
            </w:r>
            <w:r w:rsidR="00150540" w:rsidRPr="00055EFD">
              <w:rPr>
                <w:rFonts w:ascii="Calibri" w:eastAsia="Times New Roman" w:hAnsi="Calibri" w:cs="Calibri"/>
                <w:b/>
                <w:bCs/>
                <w:color w:val="000000"/>
                <w:lang w:eastAsia="en-AU"/>
              </w:rPr>
              <w:t>*</w:t>
            </w:r>
          </w:p>
        </w:tc>
        <w:tc>
          <w:tcPr>
            <w:tcW w:w="2265"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93 (84)</w:t>
            </w:r>
          </w:p>
        </w:tc>
        <w:tc>
          <w:tcPr>
            <w:tcW w:w="2126"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448 (392)</w:t>
            </w:r>
          </w:p>
        </w:tc>
        <w:tc>
          <w:tcPr>
            <w:tcW w:w="1559" w:type="dxa"/>
            <w:noWrap/>
            <w:hideMark/>
          </w:tcPr>
          <w:p w:rsidR="00E42591" w:rsidRPr="00055EFD" w:rsidRDefault="00E42591"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55EFD">
              <w:rPr>
                <w:rFonts w:ascii="Calibri" w:eastAsia="Times New Roman" w:hAnsi="Calibri" w:cs="Calibri"/>
                <w:b/>
                <w:bCs/>
                <w:color w:val="000000"/>
                <w:lang w:eastAsia="en-AU"/>
              </w:rPr>
              <w:t>2,92</w:t>
            </w:r>
            <w:r w:rsidR="00150540" w:rsidRPr="00055EFD">
              <w:rPr>
                <w:rFonts w:ascii="Calibri" w:eastAsia="Times New Roman" w:hAnsi="Calibri" w:cs="Calibri"/>
                <w:b/>
                <w:bCs/>
                <w:color w:val="000000"/>
                <w:lang w:eastAsia="en-AU"/>
              </w:rPr>
              <w:t>6</w:t>
            </w:r>
            <w:r w:rsidRPr="00055EFD">
              <w:rPr>
                <w:rFonts w:ascii="Calibri" w:eastAsia="Times New Roman" w:hAnsi="Calibri" w:cs="Calibri"/>
                <w:b/>
                <w:bCs/>
                <w:color w:val="000000"/>
                <w:lang w:eastAsia="en-AU"/>
              </w:rPr>
              <w:t xml:space="preserve"> (2,4</w:t>
            </w:r>
            <w:r w:rsidR="00150540" w:rsidRPr="00055EFD">
              <w:rPr>
                <w:rFonts w:ascii="Calibri" w:eastAsia="Times New Roman" w:hAnsi="Calibri" w:cs="Calibri"/>
                <w:b/>
                <w:bCs/>
                <w:color w:val="000000"/>
                <w:lang w:eastAsia="en-AU"/>
              </w:rPr>
              <w:t>48</w:t>
            </w:r>
            <w:r w:rsidRPr="00055EFD">
              <w:rPr>
                <w:rFonts w:ascii="Calibri" w:eastAsia="Times New Roman" w:hAnsi="Calibri" w:cs="Calibri"/>
                <w:b/>
                <w:bCs/>
                <w:color w:val="000000"/>
                <w:lang w:eastAsia="en-AU"/>
              </w:rPr>
              <w:t>)</w:t>
            </w:r>
            <w:r w:rsidR="00150540" w:rsidRPr="00055EFD">
              <w:rPr>
                <w:rFonts w:ascii="Calibri" w:eastAsia="Times New Roman" w:hAnsi="Calibri" w:cs="Calibri"/>
                <w:b/>
                <w:bCs/>
                <w:color w:val="000000"/>
                <w:lang w:eastAsia="en-AU"/>
              </w:rPr>
              <w:t>*</w:t>
            </w:r>
          </w:p>
        </w:tc>
      </w:tr>
    </w:tbl>
    <w:p w:rsidR="00E42591" w:rsidRDefault="0078015B" w:rsidP="00E42591">
      <w:pPr>
        <w:rPr>
          <w:lang w:eastAsia="en-AU"/>
        </w:rPr>
      </w:pPr>
      <w:r w:rsidRPr="00150540">
        <w:rPr>
          <w:rFonts w:ascii="Calibri" w:eastAsia="Times New Roman" w:hAnsi="Calibri" w:cs="Calibri"/>
          <w:bCs/>
          <w:color w:val="000000"/>
          <w:sz w:val="18"/>
          <w:lang w:eastAsia="en-AU"/>
        </w:rPr>
        <w:t xml:space="preserve">* </w:t>
      </w:r>
      <w:r>
        <w:rPr>
          <w:rFonts w:ascii="Calibri" w:eastAsia="Times New Roman" w:hAnsi="Calibri" w:cs="Calibri"/>
          <w:bCs/>
          <w:color w:val="000000"/>
          <w:sz w:val="18"/>
          <w:lang w:eastAsia="en-AU"/>
        </w:rPr>
        <w:t>Total individuals is slightly less than the sum of adults and youths as four individuals had bail granted as both a youth and an adult</w:t>
      </w:r>
    </w:p>
    <w:p w:rsidR="00E42591" w:rsidRDefault="00E42591" w:rsidP="00E42591">
      <w:pPr>
        <w:rPr>
          <w:lang w:eastAsia="en-AU"/>
        </w:rPr>
      </w:pPr>
      <w:r>
        <w:rPr>
          <w:lang w:eastAsia="en-AU"/>
        </w:rPr>
        <w:t xml:space="preserve">On average, individuals </w:t>
      </w:r>
      <w:r w:rsidR="00060872">
        <w:rPr>
          <w:lang w:eastAsia="en-AU"/>
        </w:rPr>
        <w:t xml:space="preserve">who </w:t>
      </w:r>
      <w:r>
        <w:rPr>
          <w:lang w:eastAsia="en-AU"/>
        </w:rPr>
        <w:t xml:space="preserve">were granted </w:t>
      </w:r>
      <w:r w:rsidR="00060872">
        <w:rPr>
          <w:lang w:eastAsia="en-AU"/>
        </w:rPr>
        <w:t xml:space="preserve">bail spent </w:t>
      </w:r>
      <w:r>
        <w:rPr>
          <w:lang w:eastAsia="en-AU"/>
        </w:rPr>
        <w:t>96 consecutive days on bail (</w:t>
      </w:r>
      <w:r>
        <w:rPr>
          <w:lang w:eastAsia="en-AU"/>
        </w:rPr>
        <w:fldChar w:fldCharType="begin"/>
      </w:r>
      <w:r>
        <w:rPr>
          <w:lang w:eastAsia="en-AU"/>
        </w:rPr>
        <w:instrText xml:space="preserve"> REF _Ref55559048 \h </w:instrText>
      </w:r>
      <w:r>
        <w:rPr>
          <w:lang w:eastAsia="en-AU"/>
        </w:rPr>
      </w:r>
      <w:r>
        <w:rPr>
          <w:lang w:eastAsia="en-AU"/>
        </w:rPr>
        <w:fldChar w:fldCharType="separate"/>
      </w:r>
      <w:r w:rsidR="00552D9D">
        <w:t xml:space="preserve">Table </w:t>
      </w:r>
      <w:r w:rsidR="00552D9D">
        <w:rPr>
          <w:noProof/>
        </w:rPr>
        <w:t>2</w:t>
      </w:r>
      <w:r>
        <w:rPr>
          <w:lang w:eastAsia="en-AU"/>
        </w:rPr>
        <w:fldChar w:fldCharType="end"/>
      </w:r>
      <w:r>
        <w:rPr>
          <w:lang w:eastAsia="en-AU"/>
        </w:rPr>
        <w:t xml:space="preserve">), with little variation in </w:t>
      </w:r>
      <w:r w:rsidR="00F25588">
        <w:rPr>
          <w:lang w:eastAsia="en-AU"/>
        </w:rPr>
        <w:t xml:space="preserve">average </w:t>
      </w:r>
      <w:r>
        <w:rPr>
          <w:lang w:eastAsia="en-AU"/>
        </w:rPr>
        <w:t>times for adults (96.1 days) and youths (95.</w:t>
      </w:r>
      <w:r w:rsidR="00F25588">
        <w:rPr>
          <w:lang w:eastAsia="en-AU"/>
        </w:rPr>
        <w:t>8</w:t>
      </w:r>
      <w:r>
        <w:rPr>
          <w:lang w:eastAsia="en-AU"/>
        </w:rPr>
        <w:t xml:space="preserve"> days)</w:t>
      </w:r>
      <w:r w:rsidR="00F25588">
        <w:rPr>
          <w:lang w:eastAsia="en-AU"/>
        </w:rPr>
        <w:t>, though within demographic groups the average time on bail varied substantially</w:t>
      </w:r>
      <w:r>
        <w:rPr>
          <w:lang w:eastAsia="en-AU"/>
        </w:rPr>
        <w:t xml:space="preserve">.  </w:t>
      </w:r>
    </w:p>
    <w:p w:rsidR="00E42591" w:rsidRDefault="00E42591" w:rsidP="00E42591">
      <w:pPr>
        <w:pStyle w:val="Caption"/>
        <w:keepNext/>
      </w:pPr>
      <w:bookmarkStart w:id="13" w:name="_Ref55559048"/>
      <w:r>
        <w:t xml:space="preserve">Table </w:t>
      </w:r>
      <w:r w:rsidR="00111DFE">
        <w:fldChar w:fldCharType="begin"/>
      </w:r>
      <w:r w:rsidR="00111DFE">
        <w:instrText xml:space="preserve"> SEQ Table \* ARABIC </w:instrText>
      </w:r>
      <w:r w:rsidR="00111DFE">
        <w:fldChar w:fldCharType="separate"/>
      </w:r>
      <w:r w:rsidR="00552D9D">
        <w:rPr>
          <w:noProof/>
        </w:rPr>
        <w:t>2</w:t>
      </w:r>
      <w:r w:rsidR="00111DFE">
        <w:rPr>
          <w:noProof/>
        </w:rPr>
        <w:fldChar w:fldCharType="end"/>
      </w:r>
      <w:bookmarkEnd w:id="13"/>
      <w:r>
        <w:t xml:space="preserve">.  Average length of </w:t>
      </w:r>
      <w:r w:rsidR="00060872">
        <w:t xml:space="preserve">consecutive time on bail </w:t>
      </w:r>
      <w:r>
        <w:t xml:space="preserve">by age and demographic group </w:t>
      </w:r>
    </w:p>
    <w:tbl>
      <w:tblPr>
        <w:tblStyle w:val="NTGtable1"/>
        <w:tblW w:w="10343" w:type="dxa"/>
        <w:tblLayout w:type="fixed"/>
        <w:tblCellMar>
          <w:left w:w="57" w:type="dxa"/>
          <w:right w:w="57" w:type="dxa"/>
        </w:tblCellMar>
        <w:tblLook w:val="04A0" w:firstRow="1" w:lastRow="0" w:firstColumn="1" w:lastColumn="0" w:noHBand="0" w:noVBand="1"/>
      </w:tblPr>
      <w:tblGrid>
        <w:gridCol w:w="849"/>
        <w:gridCol w:w="1842"/>
        <w:gridCol w:w="1702"/>
        <w:gridCol w:w="2409"/>
        <w:gridCol w:w="2124"/>
        <w:gridCol w:w="1417"/>
      </w:tblGrid>
      <w:tr w:rsidR="0078015B" w:rsidRPr="0078015B" w:rsidTr="00DC56A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849" w:type="dxa"/>
            <w:noWrap/>
            <w:hideMark/>
          </w:tcPr>
          <w:p w:rsidR="00E42591" w:rsidRPr="0078015B" w:rsidRDefault="00E42591" w:rsidP="008F4E6C">
            <w:pPr>
              <w:spacing w:after="0"/>
              <w:rPr>
                <w:rFonts w:ascii="Calibri" w:eastAsia="Times New Roman" w:hAnsi="Calibri" w:cs="Calibri"/>
                <w:bCs/>
                <w:lang w:eastAsia="en-AU"/>
              </w:rPr>
            </w:pPr>
            <w:r w:rsidRPr="0078015B">
              <w:rPr>
                <w:rFonts w:ascii="Calibri" w:eastAsia="Times New Roman" w:hAnsi="Calibri" w:cs="Calibri"/>
                <w:bCs/>
                <w:lang w:eastAsia="en-AU"/>
              </w:rPr>
              <w:t>Age</w:t>
            </w:r>
          </w:p>
        </w:tc>
        <w:tc>
          <w:tcPr>
            <w:tcW w:w="1842"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Aboriginal female</w:t>
            </w:r>
          </w:p>
        </w:tc>
        <w:tc>
          <w:tcPr>
            <w:tcW w:w="1702"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Aboriginal male</w:t>
            </w:r>
          </w:p>
        </w:tc>
        <w:tc>
          <w:tcPr>
            <w:tcW w:w="2409"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Non-Aboriginal female</w:t>
            </w:r>
          </w:p>
        </w:tc>
        <w:tc>
          <w:tcPr>
            <w:tcW w:w="2124"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Non-Aboriginal male</w:t>
            </w:r>
          </w:p>
        </w:tc>
        <w:tc>
          <w:tcPr>
            <w:tcW w:w="1417" w:type="dxa"/>
            <w:noWrap/>
            <w:hideMark/>
          </w:tcPr>
          <w:p w:rsidR="00E42591" w:rsidRPr="0078015B" w:rsidRDefault="00E42591" w:rsidP="008F4E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Total</w:t>
            </w:r>
          </w:p>
        </w:tc>
      </w:tr>
      <w:tr w:rsidR="00150540" w:rsidRPr="009C3589"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b/>
                <w:bCs/>
                <w:color w:val="000000"/>
                <w:lang w:eastAsia="en-AU"/>
              </w:rPr>
            </w:pPr>
            <w:r w:rsidRPr="009C3589">
              <w:rPr>
                <w:rFonts w:ascii="Calibri" w:eastAsia="Times New Roman" w:hAnsi="Calibri" w:cs="Calibri"/>
                <w:b/>
                <w:bCs/>
                <w:color w:val="000000"/>
                <w:lang w:eastAsia="en-AU"/>
              </w:rPr>
              <w:t>Youth</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86.1</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97.8</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97.3</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95.2</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95.8</w:t>
            </w:r>
          </w:p>
        </w:tc>
      </w:tr>
      <w:tr w:rsidR="00150540" w:rsidRPr="009C3589"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10-11</w:t>
            </w:r>
          </w:p>
        </w:tc>
        <w:tc>
          <w:tcPr>
            <w:tcW w:w="1842" w:type="dxa"/>
            <w:noWrap/>
            <w:hideMark/>
          </w:tcPr>
          <w:p w:rsidR="00150540" w:rsidRPr="00776E12" w:rsidRDefault="00B81E1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w:t>
            </w:r>
          </w:p>
        </w:tc>
        <w:tc>
          <w:tcPr>
            <w:tcW w:w="170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183.5</w:t>
            </w:r>
          </w:p>
        </w:tc>
        <w:tc>
          <w:tcPr>
            <w:tcW w:w="2409" w:type="dxa"/>
            <w:noWrap/>
            <w:hideMark/>
          </w:tcPr>
          <w:p w:rsidR="00150540" w:rsidRPr="00776E12" w:rsidRDefault="00B81E1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w:t>
            </w:r>
          </w:p>
        </w:tc>
        <w:tc>
          <w:tcPr>
            <w:tcW w:w="2124" w:type="dxa"/>
            <w:noWrap/>
            <w:hideMark/>
          </w:tcPr>
          <w:p w:rsidR="00150540" w:rsidRPr="00776E12" w:rsidRDefault="00B81E1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w:t>
            </w:r>
          </w:p>
        </w:tc>
        <w:tc>
          <w:tcPr>
            <w:tcW w:w="1417"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183.5</w:t>
            </w:r>
          </w:p>
        </w:tc>
      </w:tr>
      <w:tr w:rsidR="00150540" w:rsidRPr="009C3589"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12-13</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110.0</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97.5</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247.0</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73.8</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101.3</w:t>
            </w:r>
          </w:p>
        </w:tc>
      </w:tr>
      <w:tr w:rsidR="00150540" w:rsidRPr="009C3589"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14-15</w:t>
            </w:r>
          </w:p>
        </w:tc>
        <w:tc>
          <w:tcPr>
            <w:tcW w:w="184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70.5</w:t>
            </w:r>
          </w:p>
        </w:tc>
        <w:tc>
          <w:tcPr>
            <w:tcW w:w="170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96.6</w:t>
            </w:r>
          </w:p>
        </w:tc>
        <w:tc>
          <w:tcPr>
            <w:tcW w:w="2409" w:type="dxa"/>
            <w:noWrap/>
            <w:hideMark/>
          </w:tcPr>
          <w:p w:rsidR="00150540" w:rsidRPr="00776E12" w:rsidRDefault="00B81E1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w:t>
            </w:r>
          </w:p>
        </w:tc>
        <w:tc>
          <w:tcPr>
            <w:tcW w:w="2124"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126.9</w:t>
            </w:r>
          </w:p>
        </w:tc>
        <w:tc>
          <w:tcPr>
            <w:tcW w:w="1417"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92.4</w:t>
            </w:r>
          </w:p>
        </w:tc>
      </w:tr>
      <w:tr w:rsidR="00150540" w:rsidRPr="009C3589"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16-17</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103.3</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95.5</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55.0</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78.5</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94.9</w:t>
            </w:r>
          </w:p>
        </w:tc>
      </w:tr>
      <w:tr w:rsidR="00150540" w:rsidRPr="009C3589"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tcPr>
          <w:p w:rsidR="00150540" w:rsidRPr="009C3589" w:rsidRDefault="00150540" w:rsidP="008F4E6C">
            <w:pPr>
              <w:spacing w:after="0"/>
              <w:rPr>
                <w:rFonts w:ascii="Calibri" w:eastAsia="Times New Roman" w:hAnsi="Calibri" w:cs="Calibri"/>
                <w:color w:val="000000"/>
                <w:lang w:eastAsia="en-AU"/>
              </w:rPr>
            </w:pPr>
            <w:r>
              <w:rPr>
                <w:rFonts w:ascii="Calibri" w:eastAsia="Times New Roman" w:hAnsi="Calibri" w:cs="Calibri"/>
                <w:color w:val="000000"/>
                <w:lang w:eastAsia="en-AU"/>
              </w:rPr>
              <w:t>18-24</w:t>
            </w:r>
          </w:p>
        </w:tc>
        <w:tc>
          <w:tcPr>
            <w:tcW w:w="1842" w:type="dxa"/>
            <w:noWrap/>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12.0</w:t>
            </w:r>
          </w:p>
        </w:tc>
        <w:tc>
          <w:tcPr>
            <w:tcW w:w="1702" w:type="dxa"/>
            <w:noWrap/>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95.8</w:t>
            </w:r>
          </w:p>
        </w:tc>
        <w:tc>
          <w:tcPr>
            <w:tcW w:w="2409" w:type="dxa"/>
            <w:noWrap/>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32.0</w:t>
            </w:r>
          </w:p>
        </w:tc>
        <w:tc>
          <w:tcPr>
            <w:tcW w:w="2124" w:type="dxa"/>
            <w:noWrap/>
          </w:tcPr>
          <w:p w:rsidR="00150540" w:rsidRPr="00776E12" w:rsidRDefault="00B81E11"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w:t>
            </w:r>
          </w:p>
        </w:tc>
        <w:tc>
          <w:tcPr>
            <w:tcW w:w="1417" w:type="dxa"/>
            <w:noWrap/>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87.1</w:t>
            </w:r>
          </w:p>
        </w:tc>
      </w:tr>
      <w:tr w:rsidR="00150540" w:rsidRPr="009C3589"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b/>
                <w:bCs/>
                <w:color w:val="000000"/>
                <w:lang w:eastAsia="en-AU"/>
              </w:rPr>
            </w:pPr>
            <w:r w:rsidRPr="009C3589">
              <w:rPr>
                <w:rFonts w:ascii="Calibri" w:eastAsia="Times New Roman" w:hAnsi="Calibri" w:cs="Calibri"/>
                <w:b/>
                <w:bCs/>
                <w:color w:val="000000"/>
                <w:lang w:eastAsia="en-AU"/>
              </w:rPr>
              <w:t>Adults</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92.9</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95.4</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102.1</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100.9</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96.1</w:t>
            </w:r>
          </w:p>
        </w:tc>
      </w:tr>
      <w:tr w:rsidR="00150540" w:rsidRPr="00776E12"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18-24</w:t>
            </w:r>
          </w:p>
        </w:tc>
        <w:tc>
          <w:tcPr>
            <w:tcW w:w="184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90.1</w:t>
            </w:r>
          </w:p>
        </w:tc>
        <w:tc>
          <w:tcPr>
            <w:tcW w:w="170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96.1</w:t>
            </w:r>
          </w:p>
        </w:tc>
        <w:tc>
          <w:tcPr>
            <w:tcW w:w="2409"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76.3</w:t>
            </w:r>
          </w:p>
        </w:tc>
        <w:tc>
          <w:tcPr>
            <w:tcW w:w="2124"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112.4</w:t>
            </w:r>
          </w:p>
        </w:tc>
        <w:tc>
          <w:tcPr>
            <w:tcW w:w="1417"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96.8</w:t>
            </w:r>
          </w:p>
        </w:tc>
      </w:tr>
      <w:tr w:rsidR="00150540" w:rsidRPr="00776E12"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25-34</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90.7</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99.1</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115.6</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96.3</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97.3</w:t>
            </w:r>
          </w:p>
        </w:tc>
      </w:tr>
      <w:tr w:rsidR="00150540" w:rsidRPr="00776E12"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35-44</w:t>
            </w:r>
          </w:p>
        </w:tc>
        <w:tc>
          <w:tcPr>
            <w:tcW w:w="184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96.4</w:t>
            </w:r>
          </w:p>
        </w:tc>
        <w:tc>
          <w:tcPr>
            <w:tcW w:w="170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90.5</w:t>
            </w:r>
          </w:p>
        </w:tc>
        <w:tc>
          <w:tcPr>
            <w:tcW w:w="2409"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101.8</w:t>
            </w:r>
          </w:p>
        </w:tc>
        <w:tc>
          <w:tcPr>
            <w:tcW w:w="2124"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99.0</w:t>
            </w:r>
          </w:p>
        </w:tc>
        <w:tc>
          <w:tcPr>
            <w:tcW w:w="1417"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93.9</w:t>
            </w:r>
          </w:p>
        </w:tc>
      </w:tr>
      <w:tr w:rsidR="00150540" w:rsidRPr="00776E12"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45-54</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100.0</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87.7</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80.0</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92.7</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6E12">
              <w:rPr>
                <w:rFonts w:ascii="Calibri" w:hAnsi="Calibri" w:cs="Calibri"/>
              </w:rPr>
              <w:t>91.4</w:t>
            </w:r>
          </w:p>
        </w:tc>
      </w:tr>
      <w:tr w:rsidR="00150540" w:rsidRPr="00776E12" w:rsidTr="0078015B">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color w:val="000000"/>
                <w:lang w:eastAsia="en-AU"/>
              </w:rPr>
            </w:pPr>
            <w:r w:rsidRPr="009C3589">
              <w:rPr>
                <w:rFonts w:ascii="Calibri" w:eastAsia="Times New Roman" w:hAnsi="Calibri" w:cs="Calibri"/>
                <w:color w:val="000000"/>
                <w:lang w:eastAsia="en-AU"/>
              </w:rPr>
              <w:t>55+</w:t>
            </w:r>
          </w:p>
        </w:tc>
        <w:tc>
          <w:tcPr>
            <w:tcW w:w="184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66.8</w:t>
            </w:r>
          </w:p>
        </w:tc>
        <w:tc>
          <w:tcPr>
            <w:tcW w:w="1702"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105.7</w:t>
            </w:r>
          </w:p>
        </w:tc>
        <w:tc>
          <w:tcPr>
            <w:tcW w:w="2409"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116.3</w:t>
            </w:r>
          </w:p>
        </w:tc>
        <w:tc>
          <w:tcPr>
            <w:tcW w:w="2124"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115.5</w:t>
            </w:r>
          </w:p>
        </w:tc>
        <w:tc>
          <w:tcPr>
            <w:tcW w:w="1417" w:type="dxa"/>
            <w:noWrap/>
            <w:hideMark/>
          </w:tcPr>
          <w:p w:rsidR="00150540" w:rsidRPr="00776E12" w:rsidRDefault="00150540" w:rsidP="008F4E6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76E12">
              <w:rPr>
                <w:rFonts w:ascii="Calibri" w:hAnsi="Calibri" w:cs="Calibri"/>
              </w:rPr>
              <w:t>107.2</w:t>
            </w:r>
          </w:p>
        </w:tc>
      </w:tr>
      <w:tr w:rsidR="00150540" w:rsidRPr="009C3589" w:rsidTr="0078015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49" w:type="dxa"/>
            <w:noWrap/>
            <w:hideMark/>
          </w:tcPr>
          <w:p w:rsidR="00150540" w:rsidRPr="009C3589" w:rsidRDefault="00150540" w:rsidP="008F4E6C">
            <w:pPr>
              <w:spacing w:after="0"/>
              <w:rPr>
                <w:rFonts w:ascii="Calibri" w:eastAsia="Times New Roman" w:hAnsi="Calibri" w:cs="Calibri"/>
                <w:b/>
                <w:bCs/>
                <w:color w:val="000000"/>
                <w:lang w:eastAsia="en-AU"/>
              </w:rPr>
            </w:pPr>
            <w:r w:rsidRPr="009C3589">
              <w:rPr>
                <w:rFonts w:ascii="Calibri" w:eastAsia="Times New Roman" w:hAnsi="Calibri" w:cs="Calibri"/>
                <w:b/>
                <w:bCs/>
                <w:color w:val="000000"/>
                <w:lang w:eastAsia="en-AU"/>
              </w:rPr>
              <w:t>Total</w:t>
            </w:r>
          </w:p>
        </w:tc>
        <w:tc>
          <w:tcPr>
            <w:tcW w:w="184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92.2</w:t>
            </w:r>
          </w:p>
        </w:tc>
        <w:tc>
          <w:tcPr>
            <w:tcW w:w="1702"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95.8</w:t>
            </w:r>
          </w:p>
        </w:tc>
        <w:tc>
          <w:tcPr>
            <w:tcW w:w="2409"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101.8</w:t>
            </w:r>
          </w:p>
        </w:tc>
        <w:tc>
          <w:tcPr>
            <w:tcW w:w="2124"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100.6</w:t>
            </w:r>
          </w:p>
        </w:tc>
        <w:tc>
          <w:tcPr>
            <w:tcW w:w="1417" w:type="dxa"/>
            <w:noWrap/>
            <w:hideMark/>
          </w:tcPr>
          <w:p w:rsidR="00150540" w:rsidRPr="00776E12" w:rsidRDefault="00150540" w:rsidP="008F4E6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76E12">
              <w:rPr>
                <w:rFonts w:ascii="Calibri" w:hAnsi="Calibri" w:cs="Calibri"/>
                <w:b/>
              </w:rPr>
              <w:t>96.0</w:t>
            </w:r>
          </w:p>
        </w:tc>
      </w:tr>
    </w:tbl>
    <w:p w:rsidR="00DC56A1" w:rsidRDefault="00DC56A1" w:rsidP="00E42591">
      <w:pPr>
        <w:rPr>
          <w:lang w:eastAsia="en-AU"/>
        </w:rPr>
      </w:pPr>
    </w:p>
    <w:p w:rsidR="00055EFD" w:rsidRDefault="00E42591" w:rsidP="00E42591">
      <w:pPr>
        <w:rPr>
          <w:lang w:eastAsia="en-AU"/>
        </w:rPr>
      </w:pPr>
      <w:r>
        <w:rPr>
          <w:lang w:eastAsia="en-AU"/>
        </w:rPr>
        <w:t xml:space="preserve">The youngest and oldest age groups </w:t>
      </w:r>
      <w:r w:rsidR="00055EFD">
        <w:rPr>
          <w:lang w:eastAsia="en-AU"/>
        </w:rPr>
        <w:t xml:space="preserve">averaged </w:t>
      </w:r>
      <w:r>
        <w:rPr>
          <w:lang w:eastAsia="en-AU"/>
        </w:rPr>
        <w:t xml:space="preserve">the longest </w:t>
      </w:r>
      <w:r w:rsidR="00055EFD">
        <w:rPr>
          <w:lang w:eastAsia="en-AU"/>
        </w:rPr>
        <w:t xml:space="preserve">time on </w:t>
      </w:r>
      <w:r>
        <w:rPr>
          <w:lang w:eastAsia="en-AU"/>
        </w:rPr>
        <w:t>bail, though there were relatively few individuals in these groups (</w:t>
      </w:r>
      <w:r>
        <w:rPr>
          <w:lang w:eastAsia="en-AU"/>
        </w:rPr>
        <w:fldChar w:fldCharType="begin"/>
      </w:r>
      <w:r>
        <w:rPr>
          <w:lang w:eastAsia="en-AU"/>
        </w:rPr>
        <w:instrText xml:space="preserve"> REF _Ref51060342 \h </w:instrText>
      </w:r>
      <w:r>
        <w:rPr>
          <w:lang w:eastAsia="en-AU"/>
        </w:rPr>
      </w:r>
      <w:r>
        <w:rPr>
          <w:lang w:eastAsia="en-AU"/>
        </w:rPr>
        <w:fldChar w:fldCharType="separate"/>
      </w:r>
      <w:r w:rsidR="00552D9D">
        <w:t xml:space="preserve">Table </w:t>
      </w:r>
      <w:r w:rsidR="00552D9D">
        <w:rPr>
          <w:noProof/>
        </w:rPr>
        <w:t>1</w:t>
      </w:r>
      <w:r>
        <w:rPr>
          <w:lang w:eastAsia="en-AU"/>
        </w:rPr>
        <w:fldChar w:fldCharType="end"/>
      </w:r>
      <w:r>
        <w:rPr>
          <w:lang w:eastAsia="en-AU"/>
        </w:rPr>
        <w:t xml:space="preserve">).  </w:t>
      </w:r>
      <w:r w:rsidR="00060872">
        <w:rPr>
          <w:lang w:eastAsia="en-AU"/>
        </w:rPr>
        <w:t xml:space="preserve">The time </w:t>
      </w:r>
      <w:r w:rsidR="00055EFD">
        <w:rPr>
          <w:lang w:eastAsia="en-AU"/>
        </w:rPr>
        <w:t xml:space="preserve">spent </w:t>
      </w:r>
      <w:r w:rsidR="00060872">
        <w:rPr>
          <w:lang w:eastAsia="en-AU"/>
        </w:rPr>
        <w:t xml:space="preserve">on bail depends on the time required to finalise the case, as well as whether the defendant does anything that </w:t>
      </w:r>
      <w:r w:rsidR="00761972">
        <w:rPr>
          <w:lang w:eastAsia="en-AU"/>
        </w:rPr>
        <w:t>leads to</w:t>
      </w:r>
      <w:r w:rsidR="00060872">
        <w:rPr>
          <w:lang w:eastAsia="en-AU"/>
        </w:rPr>
        <w:t xml:space="preserve"> being placed on remand.</w:t>
      </w:r>
      <w:r w:rsidR="00055EFD">
        <w:rPr>
          <w:lang w:eastAsia="en-AU"/>
        </w:rPr>
        <w:t xml:space="preserve">  </w:t>
      </w:r>
    </w:p>
    <w:p w:rsidR="00E42591" w:rsidRDefault="00055EFD" w:rsidP="00E42591">
      <w:pPr>
        <w:rPr>
          <w:lang w:eastAsia="en-AU"/>
        </w:rPr>
      </w:pPr>
      <w:r>
        <w:rPr>
          <w:lang w:eastAsia="en-AU"/>
        </w:rPr>
        <w:t>Overall, youths granted bail averaged 2.9 more prior apprehensions than adults (</w:t>
      </w:r>
      <w:r>
        <w:rPr>
          <w:lang w:eastAsia="en-AU"/>
        </w:rPr>
        <w:fldChar w:fldCharType="begin"/>
      </w:r>
      <w:r>
        <w:rPr>
          <w:lang w:eastAsia="en-AU"/>
        </w:rPr>
        <w:instrText xml:space="preserve"> REF _Ref51060353 \h </w:instrText>
      </w:r>
      <w:r>
        <w:rPr>
          <w:lang w:eastAsia="en-AU"/>
        </w:rPr>
      </w:r>
      <w:r>
        <w:rPr>
          <w:lang w:eastAsia="en-AU"/>
        </w:rPr>
        <w:fldChar w:fldCharType="separate"/>
      </w:r>
      <w:r w:rsidR="00552D9D">
        <w:t xml:space="preserve">Table </w:t>
      </w:r>
      <w:r w:rsidR="00552D9D">
        <w:rPr>
          <w:noProof/>
        </w:rPr>
        <w:t>3</w:t>
      </w:r>
      <w:r>
        <w:rPr>
          <w:lang w:eastAsia="en-AU"/>
        </w:rPr>
        <w:fldChar w:fldCharType="end"/>
      </w:r>
      <w:r>
        <w:rPr>
          <w:lang w:eastAsia="en-AU"/>
        </w:rPr>
        <w:t>).  In particular, youths in the 14-15 and 16-17 age categories averaged 4-7 more prior apprehensions than adults aged 18-24 and 25</w:t>
      </w:r>
      <w:r>
        <w:rPr>
          <w:lang w:eastAsia="en-AU"/>
        </w:rPr>
        <w:noBreakHyphen/>
        <w:t>34.</w:t>
      </w:r>
      <w:r w:rsidR="00E42591">
        <w:rPr>
          <w:lang w:eastAsia="en-AU"/>
        </w:rPr>
        <w:t xml:space="preserve"> </w:t>
      </w:r>
    </w:p>
    <w:p w:rsidR="00E42591" w:rsidRDefault="00E42591" w:rsidP="00E42591">
      <w:pPr>
        <w:pStyle w:val="Caption"/>
        <w:keepNext/>
      </w:pPr>
      <w:bookmarkStart w:id="14" w:name="_Ref51060353"/>
      <w:r>
        <w:lastRenderedPageBreak/>
        <w:t xml:space="preserve">Table </w:t>
      </w:r>
      <w:r w:rsidR="00111DFE">
        <w:fldChar w:fldCharType="begin"/>
      </w:r>
      <w:r w:rsidR="00111DFE">
        <w:instrText xml:space="preserve"> SEQ Table \* ARABIC </w:instrText>
      </w:r>
      <w:r w:rsidR="00111DFE">
        <w:fldChar w:fldCharType="separate"/>
      </w:r>
      <w:r w:rsidR="00552D9D">
        <w:rPr>
          <w:noProof/>
        </w:rPr>
        <w:t>3</w:t>
      </w:r>
      <w:r w:rsidR="00111DFE">
        <w:rPr>
          <w:noProof/>
        </w:rPr>
        <w:fldChar w:fldCharType="end"/>
      </w:r>
      <w:bookmarkEnd w:id="14"/>
      <w:r>
        <w:t>.  Average number of prior apprehensions by age and demographic group</w:t>
      </w:r>
    </w:p>
    <w:tbl>
      <w:tblPr>
        <w:tblStyle w:val="NTGtable1"/>
        <w:tblW w:w="10503" w:type="dxa"/>
        <w:tblLook w:val="04A0" w:firstRow="1" w:lastRow="0" w:firstColumn="1" w:lastColumn="0" w:noHBand="0" w:noVBand="1"/>
      </w:tblPr>
      <w:tblGrid>
        <w:gridCol w:w="993"/>
        <w:gridCol w:w="1979"/>
        <w:gridCol w:w="1843"/>
        <w:gridCol w:w="2410"/>
        <w:gridCol w:w="2126"/>
        <w:gridCol w:w="1152"/>
      </w:tblGrid>
      <w:tr w:rsidR="0078015B" w:rsidRPr="0078015B" w:rsidTr="00DC56A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993" w:type="dxa"/>
            <w:noWrap/>
            <w:hideMark/>
          </w:tcPr>
          <w:p w:rsidR="00E42591" w:rsidRPr="0078015B" w:rsidRDefault="00E42591" w:rsidP="008F4E6C">
            <w:pPr>
              <w:spacing w:before="20" w:after="0"/>
              <w:rPr>
                <w:rFonts w:ascii="Calibri" w:eastAsia="Times New Roman" w:hAnsi="Calibri" w:cs="Calibri"/>
                <w:bCs/>
                <w:lang w:eastAsia="en-AU"/>
              </w:rPr>
            </w:pPr>
            <w:r w:rsidRPr="0078015B">
              <w:rPr>
                <w:rFonts w:ascii="Calibri" w:eastAsia="Times New Roman" w:hAnsi="Calibri" w:cs="Calibri"/>
                <w:bCs/>
                <w:lang w:eastAsia="en-AU"/>
              </w:rPr>
              <w:t>Age</w:t>
            </w:r>
          </w:p>
        </w:tc>
        <w:tc>
          <w:tcPr>
            <w:tcW w:w="1979" w:type="dxa"/>
            <w:noWrap/>
            <w:hideMark/>
          </w:tcPr>
          <w:p w:rsidR="00E42591" w:rsidRPr="0078015B"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Aboriginal female</w:t>
            </w:r>
          </w:p>
        </w:tc>
        <w:tc>
          <w:tcPr>
            <w:tcW w:w="1843" w:type="dxa"/>
            <w:noWrap/>
            <w:hideMark/>
          </w:tcPr>
          <w:p w:rsidR="00E42591" w:rsidRPr="0078015B"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Aboriginal male</w:t>
            </w:r>
          </w:p>
        </w:tc>
        <w:tc>
          <w:tcPr>
            <w:tcW w:w="2410" w:type="dxa"/>
            <w:noWrap/>
            <w:hideMark/>
          </w:tcPr>
          <w:p w:rsidR="00E42591" w:rsidRPr="0078015B"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Non-Aboriginal female</w:t>
            </w:r>
          </w:p>
        </w:tc>
        <w:tc>
          <w:tcPr>
            <w:tcW w:w="2126" w:type="dxa"/>
            <w:noWrap/>
            <w:hideMark/>
          </w:tcPr>
          <w:p w:rsidR="00E42591" w:rsidRPr="0078015B"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Non-Aboriginal male</w:t>
            </w:r>
          </w:p>
        </w:tc>
        <w:tc>
          <w:tcPr>
            <w:tcW w:w="1152" w:type="dxa"/>
            <w:noWrap/>
            <w:hideMark/>
          </w:tcPr>
          <w:p w:rsidR="00E42591" w:rsidRPr="0078015B"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78015B">
              <w:rPr>
                <w:rFonts w:ascii="Calibri" w:eastAsia="Times New Roman" w:hAnsi="Calibri" w:cs="Calibri"/>
                <w:bCs/>
                <w:lang w:eastAsia="en-AU"/>
              </w:rPr>
              <w:t>Total</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rPr>
                <w:rFonts w:ascii="Calibri" w:eastAsia="Times New Roman" w:hAnsi="Calibri" w:cs="Calibri"/>
                <w:b/>
                <w:bCs/>
                <w:color w:val="000000"/>
                <w:lang w:eastAsia="en-AU"/>
              </w:rPr>
            </w:pPr>
            <w:r w:rsidRPr="00CD7EAF">
              <w:rPr>
                <w:rFonts w:ascii="Calibri" w:eastAsia="Times New Roman" w:hAnsi="Calibri" w:cs="Calibri"/>
                <w:b/>
                <w:bCs/>
                <w:color w:val="000000"/>
                <w:lang w:eastAsia="en-AU"/>
              </w:rPr>
              <w:t>Youth</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13.7</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14.7</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4.0</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6.9</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14.0</w:t>
            </w:r>
          </w:p>
        </w:tc>
      </w:tr>
      <w:tr w:rsidR="00B81E11"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10-11</w:t>
            </w:r>
          </w:p>
        </w:tc>
        <w:tc>
          <w:tcPr>
            <w:tcW w:w="1979"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p>
        </w:tc>
        <w:tc>
          <w:tcPr>
            <w:tcW w:w="1843"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10.8</w:t>
            </w:r>
          </w:p>
        </w:tc>
        <w:tc>
          <w:tcPr>
            <w:tcW w:w="2410"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p>
        </w:tc>
        <w:tc>
          <w:tcPr>
            <w:tcW w:w="2126"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p>
        </w:tc>
        <w:tc>
          <w:tcPr>
            <w:tcW w:w="1152"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10.8</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12-13</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9.2</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13.5</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7.0</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12.0</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12.3</w:t>
            </w:r>
          </w:p>
        </w:tc>
      </w:tr>
      <w:tr w:rsidR="00B81E11"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14-15</w:t>
            </w:r>
          </w:p>
        </w:tc>
        <w:tc>
          <w:tcPr>
            <w:tcW w:w="1979"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16.3</w:t>
            </w:r>
          </w:p>
        </w:tc>
        <w:tc>
          <w:tcPr>
            <w:tcW w:w="1843"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15.2</w:t>
            </w:r>
          </w:p>
        </w:tc>
        <w:tc>
          <w:tcPr>
            <w:tcW w:w="2410"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p>
        </w:tc>
        <w:tc>
          <w:tcPr>
            <w:tcW w:w="2126"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2.9</w:t>
            </w:r>
          </w:p>
        </w:tc>
        <w:tc>
          <w:tcPr>
            <w:tcW w:w="1152"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14.8</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16-17</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11.1</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15.4</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14.4</w:t>
            </w:r>
          </w:p>
        </w:tc>
      </w:tr>
      <w:tr w:rsidR="00B81E11"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tcPr>
          <w:p w:rsidR="00B81E11" w:rsidRPr="00CD7EAF" w:rsidRDefault="00B81E11" w:rsidP="008F4E6C">
            <w:pPr>
              <w:spacing w:before="20" w:after="0"/>
              <w:ind w:firstLineChars="100" w:firstLine="220"/>
              <w:rPr>
                <w:rFonts w:ascii="Calibri" w:eastAsia="Times New Roman" w:hAnsi="Calibri" w:cs="Calibri"/>
                <w:color w:val="000000"/>
                <w:lang w:eastAsia="en-AU"/>
              </w:rPr>
            </w:pPr>
            <w:r>
              <w:rPr>
                <w:rFonts w:ascii="Calibri" w:eastAsia="Times New Roman" w:hAnsi="Calibri" w:cs="Calibri"/>
                <w:color w:val="000000"/>
                <w:lang w:eastAsia="en-AU"/>
              </w:rPr>
              <w:t>18-24</w:t>
            </w:r>
          </w:p>
        </w:tc>
        <w:tc>
          <w:tcPr>
            <w:tcW w:w="1979" w:type="dxa"/>
            <w:noWrap/>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26.0</w:t>
            </w:r>
          </w:p>
        </w:tc>
        <w:tc>
          <w:tcPr>
            <w:tcW w:w="1843" w:type="dxa"/>
            <w:noWrap/>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9.3</w:t>
            </w:r>
          </w:p>
        </w:tc>
        <w:tc>
          <w:tcPr>
            <w:tcW w:w="2410" w:type="dxa"/>
            <w:noWrap/>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2.0</w:t>
            </w:r>
          </w:p>
        </w:tc>
        <w:tc>
          <w:tcPr>
            <w:tcW w:w="2126" w:type="dxa"/>
            <w:noWrap/>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p>
        </w:tc>
        <w:tc>
          <w:tcPr>
            <w:tcW w:w="1152" w:type="dxa"/>
            <w:noWrap/>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9.8</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rPr>
                <w:rFonts w:ascii="Calibri" w:eastAsia="Times New Roman" w:hAnsi="Calibri" w:cs="Calibri"/>
                <w:b/>
                <w:bCs/>
                <w:color w:val="000000"/>
                <w:lang w:eastAsia="en-AU"/>
              </w:rPr>
            </w:pPr>
            <w:r w:rsidRPr="00CD7EAF">
              <w:rPr>
                <w:rFonts w:ascii="Calibri" w:eastAsia="Times New Roman" w:hAnsi="Calibri" w:cs="Calibri"/>
                <w:b/>
                <w:bCs/>
                <w:color w:val="000000"/>
                <w:lang w:eastAsia="en-AU"/>
              </w:rPr>
              <w:t>Adults</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8.1</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13.5</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8.0</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11.1</w:t>
            </w:r>
          </w:p>
        </w:tc>
      </w:tr>
      <w:tr w:rsidR="00B81E11"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18-24</w:t>
            </w:r>
          </w:p>
        </w:tc>
        <w:tc>
          <w:tcPr>
            <w:tcW w:w="1979"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6.4</w:t>
            </w:r>
          </w:p>
        </w:tc>
        <w:tc>
          <w:tcPr>
            <w:tcW w:w="1843"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8.1</w:t>
            </w:r>
          </w:p>
        </w:tc>
        <w:tc>
          <w:tcPr>
            <w:tcW w:w="2410"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3.3</w:t>
            </w:r>
          </w:p>
        </w:tc>
        <w:tc>
          <w:tcPr>
            <w:tcW w:w="2126"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4.9</w:t>
            </w:r>
          </w:p>
        </w:tc>
        <w:tc>
          <w:tcPr>
            <w:tcW w:w="1152"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7.4</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25-34</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8.3</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12.8</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8.2</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10.6</w:t>
            </w:r>
          </w:p>
        </w:tc>
      </w:tr>
      <w:tr w:rsidR="00B81E11"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35-44</w:t>
            </w:r>
          </w:p>
        </w:tc>
        <w:tc>
          <w:tcPr>
            <w:tcW w:w="1979"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8.9</w:t>
            </w:r>
          </w:p>
        </w:tc>
        <w:tc>
          <w:tcPr>
            <w:tcW w:w="1843"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20.2</w:t>
            </w:r>
          </w:p>
        </w:tc>
        <w:tc>
          <w:tcPr>
            <w:tcW w:w="2410"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7.3</w:t>
            </w:r>
          </w:p>
        </w:tc>
        <w:tc>
          <w:tcPr>
            <w:tcW w:w="2126"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10.5</w:t>
            </w:r>
          </w:p>
        </w:tc>
        <w:tc>
          <w:tcPr>
            <w:tcW w:w="1152"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15.3</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45-54</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7.9</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18.4</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7.0</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12.7</w:t>
            </w:r>
          </w:p>
        </w:tc>
      </w:tr>
      <w:tr w:rsidR="00B81E11"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55+</w:t>
            </w:r>
          </w:p>
        </w:tc>
        <w:tc>
          <w:tcPr>
            <w:tcW w:w="1979"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7.5</w:t>
            </w:r>
          </w:p>
        </w:tc>
        <w:tc>
          <w:tcPr>
            <w:tcW w:w="1843"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13.7</w:t>
            </w:r>
          </w:p>
        </w:tc>
        <w:tc>
          <w:tcPr>
            <w:tcW w:w="2410"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1.0</w:t>
            </w:r>
          </w:p>
        </w:tc>
        <w:tc>
          <w:tcPr>
            <w:tcW w:w="2126"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8.2</w:t>
            </w:r>
          </w:p>
        </w:tc>
        <w:tc>
          <w:tcPr>
            <w:tcW w:w="1152" w:type="dxa"/>
            <w:noWrap/>
            <w:hideMark/>
          </w:tcPr>
          <w:p w:rsidR="00B81E11" w:rsidRDefault="00B81E11" w:rsidP="008F4E6C">
            <w:pPr>
              <w:spacing w:before="2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10.8</w:t>
            </w:r>
          </w:p>
        </w:tc>
      </w:tr>
      <w:tr w:rsidR="00B81E11"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93" w:type="dxa"/>
            <w:noWrap/>
            <w:hideMark/>
          </w:tcPr>
          <w:p w:rsidR="00B81E11" w:rsidRPr="00CD7EAF" w:rsidRDefault="00B81E11" w:rsidP="008F4E6C">
            <w:pPr>
              <w:spacing w:before="20" w:after="0"/>
              <w:rPr>
                <w:rFonts w:ascii="Calibri" w:eastAsia="Times New Roman" w:hAnsi="Calibri" w:cs="Calibri"/>
                <w:b/>
                <w:bCs/>
                <w:color w:val="000000"/>
                <w:lang w:eastAsia="en-AU"/>
              </w:rPr>
            </w:pPr>
            <w:r w:rsidRPr="00CD7EAF">
              <w:rPr>
                <w:rFonts w:ascii="Calibri" w:eastAsia="Times New Roman" w:hAnsi="Calibri" w:cs="Calibri"/>
                <w:b/>
                <w:bCs/>
                <w:color w:val="000000"/>
                <w:lang w:eastAsia="en-AU"/>
              </w:rPr>
              <w:t>Total</w:t>
            </w:r>
          </w:p>
        </w:tc>
        <w:tc>
          <w:tcPr>
            <w:tcW w:w="1979"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8.7</w:t>
            </w:r>
          </w:p>
        </w:tc>
        <w:tc>
          <w:tcPr>
            <w:tcW w:w="1843"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13.7</w:t>
            </w:r>
          </w:p>
        </w:tc>
        <w:tc>
          <w:tcPr>
            <w:tcW w:w="2410"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5.0</w:t>
            </w:r>
          </w:p>
        </w:tc>
        <w:tc>
          <w:tcPr>
            <w:tcW w:w="2126"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7.9</w:t>
            </w:r>
          </w:p>
        </w:tc>
        <w:tc>
          <w:tcPr>
            <w:tcW w:w="1152" w:type="dxa"/>
            <w:noWrap/>
            <w:hideMark/>
          </w:tcPr>
          <w:p w:rsidR="00B81E11" w:rsidRDefault="00B81E11" w:rsidP="008F4E6C">
            <w:pPr>
              <w:spacing w:before="2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11.5</w:t>
            </w:r>
          </w:p>
        </w:tc>
      </w:tr>
    </w:tbl>
    <w:p w:rsidR="00E42591" w:rsidRDefault="00E42591" w:rsidP="008F4E6C">
      <w:pPr>
        <w:spacing w:after="0"/>
        <w:rPr>
          <w:lang w:eastAsia="en-AU"/>
        </w:rPr>
      </w:pPr>
    </w:p>
    <w:p w:rsidR="00E42591" w:rsidRDefault="00E42591" w:rsidP="00E42591">
      <w:pPr>
        <w:rPr>
          <w:lang w:eastAsia="en-AU"/>
        </w:rPr>
      </w:pPr>
      <w:r>
        <w:rPr>
          <w:lang w:eastAsia="en-AU"/>
        </w:rPr>
        <w:t>Aboriginal female</w:t>
      </w:r>
      <w:r w:rsidR="00055EFD">
        <w:rPr>
          <w:lang w:eastAsia="en-AU"/>
        </w:rPr>
        <w:t xml:space="preserve"> youth</w:t>
      </w:r>
      <w:r>
        <w:rPr>
          <w:lang w:eastAsia="en-AU"/>
        </w:rPr>
        <w:t xml:space="preserve">s averaged </w:t>
      </w:r>
      <w:r w:rsidR="00B81E11">
        <w:rPr>
          <w:lang w:eastAsia="en-AU"/>
        </w:rPr>
        <w:t>5.6</w:t>
      </w:r>
      <w:r>
        <w:rPr>
          <w:lang w:eastAsia="en-AU"/>
        </w:rPr>
        <w:t xml:space="preserve"> more prior apprehensions than Aboriginal female</w:t>
      </w:r>
      <w:r w:rsidR="00055EFD">
        <w:rPr>
          <w:lang w:eastAsia="en-AU"/>
        </w:rPr>
        <w:t xml:space="preserve"> adult</w:t>
      </w:r>
      <w:r>
        <w:rPr>
          <w:lang w:eastAsia="en-AU"/>
        </w:rPr>
        <w:t>s</w:t>
      </w:r>
      <w:r w:rsidR="00B81E11">
        <w:rPr>
          <w:lang w:eastAsia="en-AU"/>
        </w:rPr>
        <w:t>, while Aboriginal male</w:t>
      </w:r>
      <w:r w:rsidR="00055EFD">
        <w:rPr>
          <w:lang w:eastAsia="en-AU"/>
        </w:rPr>
        <w:t xml:space="preserve"> youth</w:t>
      </w:r>
      <w:r w:rsidR="00B81E11">
        <w:rPr>
          <w:lang w:eastAsia="en-AU"/>
        </w:rPr>
        <w:t>s averaged 1.2 more apprehensions than Aboriginal male</w:t>
      </w:r>
      <w:r w:rsidR="00055EFD">
        <w:rPr>
          <w:lang w:eastAsia="en-AU"/>
        </w:rPr>
        <w:t xml:space="preserve"> adult</w:t>
      </w:r>
      <w:r w:rsidR="00B81E11">
        <w:rPr>
          <w:lang w:eastAsia="en-AU"/>
        </w:rPr>
        <w:t>s</w:t>
      </w:r>
      <w:r>
        <w:rPr>
          <w:lang w:eastAsia="en-AU"/>
        </w:rPr>
        <w:t xml:space="preserve">.  </w:t>
      </w:r>
      <w:r w:rsidR="00B81E11">
        <w:rPr>
          <w:lang w:eastAsia="en-AU"/>
        </w:rPr>
        <w:t xml:space="preserve">Non-Aboriginal youths </w:t>
      </w:r>
      <w:r w:rsidR="00055EFD">
        <w:rPr>
          <w:lang w:eastAsia="en-AU"/>
        </w:rPr>
        <w:t xml:space="preserve">(male and female) </w:t>
      </w:r>
      <w:r w:rsidR="00B81E11">
        <w:rPr>
          <w:lang w:eastAsia="en-AU"/>
        </w:rPr>
        <w:t xml:space="preserve">averaged slightly fewer prior apprehensions than </w:t>
      </w:r>
      <w:r w:rsidR="00C14042">
        <w:rPr>
          <w:lang w:eastAsia="en-AU"/>
        </w:rPr>
        <w:t xml:space="preserve">non-Aboriginal </w:t>
      </w:r>
      <w:r w:rsidR="00055EFD">
        <w:rPr>
          <w:lang w:eastAsia="en-AU"/>
        </w:rPr>
        <w:t>adults</w:t>
      </w:r>
      <w:r w:rsidR="00B81E11">
        <w:rPr>
          <w:lang w:eastAsia="en-AU"/>
        </w:rPr>
        <w:t>.</w:t>
      </w:r>
      <w:r w:rsidR="00B2197E">
        <w:rPr>
          <w:lang w:eastAsia="en-AU"/>
        </w:rPr>
        <w:t xml:space="preserve">  </w:t>
      </w:r>
      <w:r>
        <w:rPr>
          <w:lang w:eastAsia="en-AU"/>
        </w:rPr>
        <w:t>The difference in prior apprehensions does not necessarily indicate that youths currently in the criminal justice system have longer criminal histories than adults</w:t>
      </w:r>
      <w:r w:rsidR="00C14042">
        <w:rPr>
          <w:lang w:eastAsia="en-AU"/>
        </w:rPr>
        <w:t xml:space="preserve"> in the system</w:t>
      </w:r>
      <w:r>
        <w:rPr>
          <w:lang w:eastAsia="en-AU"/>
        </w:rPr>
        <w:t xml:space="preserve">; it </w:t>
      </w:r>
      <w:r w:rsidR="00B81E11">
        <w:rPr>
          <w:lang w:eastAsia="en-AU"/>
        </w:rPr>
        <w:t>likely</w:t>
      </w:r>
      <w:r>
        <w:rPr>
          <w:lang w:eastAsia="en-AU"/>
        </w:rPr>
        <w:t xml:space="preserve"> reflect</w:t>
      </w:r>
      <w:r w:rsidR="00B81E11">
        <w:rPr>
          <w:lang w:eastAsia="en-AU"/>
        </w:rPr>
        <w:t>s</w:t>
      </w:r>
      <w:r>
        <w:rPr>
          <w:lang w:eastAsia="en-AU"/>
        </w:rPr>
        <w:t xml:space="preserve"> a greater </w:t>
      </w:r>
      <w:r w:rsidR="00C14042">
        <w:rPr>
          <w:lang w:eastAsia="en-AU"/>
        </w:rPr>
        <w:t xml:space="preserve">likelihood of granting </w:t>
      </w:r>
      <w:r>
        <w:rPr>
          <w:lang w:eastAsia="en-AU"/>
        </w:rPr>
        <w:t xml:space="preserve">bail </w:t>
      </w:r>
      <w:r w:rsidR="00C14042">
        <w:rPr>
          <w:lang w:eastAsia="en-AU"/>
        </w:rPr>
        <w:t xml:space="preserve">to </w:t>
      </w:r>
      <w:r>
        <w:rPr>
          <w:lang w:eastAsia="en-AU"/>
        </w:rPr>
        <w:t xml:space="preserve">youths </w:t>
      </w:r>
      <w:r w:rsidR="00B81E11">
        <w:rPr>
          <w:lang w:eastAsia="en-AU"/>
        </w:rPr>
        <w:t xml:space="preserve">than </w:t>
      </w:r>
      <w:r w:rsidR="00C14042">
        <w:rPr>
          <w:lang w:eastAsia="en-AU"/>
        </w:rPr>
        <w:t xml:space="preserve">to </w:t>
      </w:r>
      <w:r>
        <w:rPr>
          <w:lang w:eastAsia="en-AU"/>
        </w:rPr>
        <w:t xml:space="preserve">adults having similar </w:t>
      </w:r>
      <w:r w:rsidR="004A0AD8">
        <w:rPr>
          <w:lang w:eastAsia="en-AU"/>
        </w:rPr>
        <w:t>numbers of prior apprehensions</w:t>
      </w:r>
      <w:r>
        <w:rPr>
          <w:lang w:eastAsia="en-AU"/>
        </w:rPr>
        <w:t>.</w:t>
      </w:r>
    </w:p>
    <w:p w:rsidR="00E42591" w:rsidRDefault="00E42591" w:rsidP="00E42591">
      <w:pPr>
        <w:rPr>
          <w:lang w:eastAsia="en-AU"/>
        </w:rPr>
      </w:pPr>
      <w:r>
        <w:rPr>
          <w:lang w:eastAsia="en-AU"/>
        </w:rPr>
        <w:fldChar w:fldCharType="begin"/>
      </w:r>
      <w:r>
        <w:rPr>
          <w:lang w:eastAsia="en-AU"/>
        </w:rPr>
        <w:instrText xml:space="preserve"> REF _Ref51060363 \h </w:instrText>
      </w:r>
      <w:r>
        <w:rPr>
          <w:lang w:eastAsia="en-AU"/>
        </w:rPr>
      </w:r>
      <w:r>
        <w:rPr>
          <w:lang w:eastAsia="en-AU"/>
        </w:rPr>
        <w:fldChar w:fldCharType="separate"/>
      </w:r>
      <w:r w:rsidR="00552D9D">
        <w:t xml:space="preserve">Table </w:t>
      </w:r>
      <w:r w:rsidR="00552D9D">
        <w:rPr>
          <w:noProof/>
        </w:rPr>
        <w:t>4</w:t>
      </w:r>
      <w:r>
        <w:rPr>
          <w:lang w:eastAsia="en-AU"/>
        </w:rPr>
        <w:fldChar w:fldCharType="end"/>
      </w:r>
      <w:r>
        <w:rPr>
          <w:lang w:eastAsia="en-AU"/>
        </w:rPr>
        <w:t xml:space="preserve"> shows the average number of prior </w:t>
      </w:r>
      <w:r w:rsidR="00C864C0">
        <w:rPr>
          <w:lang w:eastAsia="en-AU"/>
        </w:rPr>
        <w:t>periods in custody</w:t>
      </w:r>
      <w:r>
        <w:rPr>
          <w:lang w:eastAsia="en-AU"/>
        </w:rPr>
        <w:t xml:space="preserve"> for individuals given bail.</w:t>
      </w:r>
      <w:r w:rsidR="00C864C0">
        <w:rPr>
          <w:lang w:eastAsia="en-AU"/>
        </w:rPr>
        <w:t xml:space="preserve">  This counts </w:t>
      </w:r>
      <w:r w:rsidR="00023057">
        <w:rPr>
          <w:lang w:eastAsia="en-AU"/>
        </w:rPr>
        <w:t>non-consecutive</w:t>
      </w:r>
      <w:r w:rsidR="00C864C0">
        <w:rPr>
          <w:lang w:eastAsia="en-AU"/>
        </w:rPr>
        <w:t xml:space="preserve"> periods on remand for the same offences as separate periods in custody.</w:t>
      </w:r>
    </w:p>
    <w:p w:rsidR="00E42591" w:rsidRDefault="00E42591" w:rsidP="00E42591">
      <w:pPr>
        <w:pStyle w:val="Caption"/>
        <w:keepNext/>
      </w:pPr>
      <w:bookmarkStart w:id="15" w:name="_Ref51060363"/>
      <w:r>
        <w:t xml:space="preserve">Table </w:t>
      </w:r>
      <w:r w:rsidR="00111DFE">
        <w:fldChar w:fldCharType="begin"/>
      </w:r>
      <w:r w:rsidR="00111DFE">
        <w:instrText xml:space="preserve"> SEQ Table \* ARABIC </w:instrText>
      </w:r>
      <w:r w:rsidR="00111DFE">
        <w:fldChar w:fldCharType="separate"/>
      </w:r>
      <w:r w:rsidR="00552D9D">
        <w:rPr>
          <w:noProof/>
        </w:rPr>
        <w:t>4</w:t>
      </w:r>
      <w:r w:rsidR="00111DFE">
        <w:rPr>
          <w:noProof/>
        </w:rPr>
        <w:fldChar w:fldCharType="end"/>
      </w:r>
      <w:bookmarkEnd w:id="15"/>
      <w:r>
        <w:t xml:space="preserve">.  Average number of prior </w:t>
      </w:r>
      <w:r w:rsidR="00C864C0">
        <w:t>periods in custody</w:t>
      </w:r>
      <w:r>
        <w:t xml:space="preserve"> by age and demographic group</w:t>
      </w:r>
    </w:p>
    <w:tbl>
      <w:tblPr>
        <w:tblStyle w:val="NTGtable1"/>
        <w:tblW w:w="10490" w:type="dxa"/>
        <w:tblLook w:val="04A0" w:firstRow="1" w:lastRow="0" w:firstColumn="1" w:lastColumn="0" w:noHBand="0" w:noVBand="1"/>
      </w:tblPr>
      <w:tblGrid>
        <w:gridCol w:w="1134"/>
        <w:gridCol w:w="1843"/>
        <w:gridCol w:w="1843"/>
        <w:gridCol w:w="2410"/>
        <w:gridCol w:w="2268"/>
        <w:gridCol w:w="992"/>
      </w:tblGrid>
      <w:tr w:rsidR="008F4E6C" w:rsidRPr="008F4E6C" w:rsidTr="00DC56A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134" w:type="dxa"/>
            <w:noWrap/>
            <w:hideMark/>
          </w:tcPr>
          <w:p w:rsidR="00E42591" w:rsidRPr="008F4E6C" w:rsidRDefault="00E42591" w:rsidP="008F4E6C">
            <w:pPr>
              <w:spacing w:before="20" w:after="0"/>
              <w:rPr>
                <w:rFonts w:ascii="Calibri" w:eastAsia="Times New Roman" w:hAnsi="Calibri" w:cs="Calibri"/>
                <w:bCs/>
                <w:lang w:eastAsia="en-AU"/>
              </w:rPr>
            </w:pPr>
            <w:r w:rsidRPr="008F4E6C">
              <w:rPr>
                <w:rFonts w:ascii="Calibri" w:eastAsia="Times New Roman" w:hAnsi="Calibri" w:cs="Calibri"/>
                <w:bCs/>
                <w:lang w:eastAsia="en-AU"/>
              </w:rPr>
              <w:t>Age</w:t>
            </w:r>
          </w:p>
        </w:tc>
        <w:tc>
          <w:tcPr>
            <w:tcW w:w="1843" w:type="dxa"/>
            <w:noWrap/>
            <w:hideMark/>
          </w:tcPr>
          <w:p w:rsidR="00E42591" w:rsidRPr="008F4E6C"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8F4E6C">
              <w:rPr>
                <w:rFonts w:ascii="Calibri" w:eastAsia="Times New Roman" w:hAnsi="Calibri" w:cs="Calibri"/>
                <w:bCs/>
                <w:lang w:eastAsia="en-AU"/>
              </w:rPr>
              <w:t>Aboriginal female</w:t>
            </w:r>
          </w:p>
        </w:tc>
        <w:tc>
          <w:tcPr>
            <w:tcW w:w="1843" w:type="dxa"/>
            <w:noWrap/>
            <w:hideMark/>
          </w:tcPr>
          <w:p w:rsidR="00E42591" w:rsidRPr="008F4E6C"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8F4E6C">
              <w:rPr>
                <w:rFonts w:ascii="Calibri" w:eastAsia="Times New Roman" w:hAnsi="Calibri" w:cs="Calibri"/>
                <w:bCs/>
                <w:lang w:eastAsia="en-AU"/>
              </w:rPr>
              <w:t>Aboriginal male</w:t>
            </w:r>
          </w:p>
        </w:tc>
        <w:tc>
          <w:tcPr>
            <w:tcW w:w="2410" w:type="dxa"/>
            <w:noWrap/>
            <w:hideMark/>
          </w:tcPr>
          <w:p w:rsidR="00E42591" w:rsidRPr="008F4E6C"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8F4E6C">
              <w:rPr>
                <w:rFonts w:ascii="Calibri" w:eastAsia="Times New Roman" w:hAnsi="Calibri" w:cs="Calibri"/>
                <w:bCs/>
                <w:lang w:eastAsia="en-AU"/>
              </w:rPr>
              <w:t>Non-Aboriginal female</w:t>
            </w:r>
          </w:p>
        </w:tc>
        <w:tc>
          <w:tcPr>
            <w:tcW w:w="2268" w:type="dxa"/>
            <w:noWrap/>
            <w:hideMark/>
          </w:tcPr>
          <w:p w:rsidR="00E42591" w:rsidRPr="008F4E6C"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8F4E6C">
              <w:rPr>
                <w:rFonts w:ascii="Calibri" w:eastAsia="Times New Roman" w:hAnsi="Calibri" w:cs="Calibri"/>
                <w:bCs/>
                <w:lang w:eastAsia="en-AU"/>
              </w:rPr>
              <w:t>Non-Aboriginal male</w:t>
            </w:r>
          </w:p>
        </w:tc>
        <w:tc>
          <w:tcPr>
            <w:tcW w:w="992" w:type="dxa"/>
            <w:noWrap/>
            <w:hideMark/>
          </w:tcPr>
          <w:p w:rsidR="00E42591" w:rsidRPr="008F4E6C" w:rsidRDefault="00E42591" w:rsidP="008F4E6C">
            <w:pPr>
              <w:spacing w:before="2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lang w:eastAsia="en-AU"/>
              </w:rPr>
            </w:pPr>
            <w:r w:rsidRPr="008F4E6C">
              <w:rPr>
                <w:rFonts w:ascii="Calibri" w:eastAsia="Times New Roman" w:hAnsi="Calibri" w:cs="Calibri"/>
                <w:bCs/>
                <w:lang w:eastAsia="en-AU"/>
              </w:rPr>
              <w:t>Total</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rPr>
                <w:rFonts w:ascii="Calibri" w:eastAsia="Times New Roman" w:hAnsi="Calibri" w:cs="Calibri"/>
                <w:b/>
                <w:bCs/>
                <w:color w:val="000000"/>
                <w:lang w:eastAsia="en-AU"/>
              </w:rPr>
            </w:pPr>
            <w:r w:rsidRPr="00CD7EAF">
              <w:rPr>
                <w:rFonts w:ascii="Calibri" w:eastAsia="Times New Roman" w:hAnsi="Calibri" w:cs="Calibri"/>
                <w:b/>
                <w:bCs/>
                <w:color w:val="000000"/>
                <w:lang w:eastAsia="en-AU"/>
              </w:rPr>
              <w:t>Youth</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1.5</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0.8</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1.4</w:t>
            </w:r>
          </w:p>
        </w:tc>
      </w:tr>
      <w:tr w:rsidR="00B80643"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10-11</w:t>
            </w:r>
          </w:p>
        </w:tc>
        <w:tc>
          <w:tcPr>
            <w:tcW w:w="1843" w:type="dxa"/>
            <w:noWrap/>
            <w:hideMark/>
          </w:tcPr>
          <w:p w:rsidR="00B80643" w:rsidRPr="008F4E6C" w:rsidRDefault="008F4E6C"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8F4E6C">
              <w:rPr>
                <w:rFonts w:ascii="Calibri" w:hAnsi="Calibri" w:cs="Calibri"/>
                <w:bCs/>
                <w:color w:val="000000"/>
              </w:rPr>
              <w:t>--</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0.0</w:t>
            </w:r>
          </w:p>
        </w:tc>
        <w:tc>
          <w:tcPr>
            <w:tcW w:w="2410" w:type="dxa"/>
            <w:noWrap/>
            <w:hideMark/>
          </w:tcPr>
          <w:p w:rsidR="00B80643" w:rsidRDefault="008F4E6C"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F4E6C">
              <w:rPr>
                <w:rFonts w:ascii="Calibri" w:hAnsi="Calibri" w:cs="Calibri"/>
                <w:bCs/>
                <w:color w:val="000000"/>
              </w:rPr>
              <w:t>--</w:t>
            </w:r>
          </w:p>
        </w:tc>
        <w:tc>
          <w:tcPr>
            <w:tcW w:w="2268" w:type="dxa"/>
            <w:noWrap/>
            <w:hideMark/>
          </w:tcPr>
          <w:p w:rsidR="00B80643" w:rsidRDefault="008F4E6C"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8F4E6C">
              <w:rPr>
                <w:rFonts w:ascii="Calibri" w:hAnsi="Calibri" w:cs="Calibri"/>
                <w:bCs/>
                <w:color w:val="000000"/>
              </w:rPr>
              <w:t>--</w:t>
            </w:r>
          </w:p>
        </w:tc>
        <w:tc>
          <w:tcPr>
            <w:tcW w:w="992"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0.0</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12-13</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0.8</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0.8</w:t>
            </w:r>
          </w:p>
        </w:tc>
      </w:tr>
      <w:tr w:rsidR="00B80643"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14-15</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1.4</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1.3</w:t>
            </w:r>
          </w:p>
        </w:tc>
        <w:tc>
          <w:tcPr>
            <w:tcW w:w="2410" w:type="dxa"/>
            <w:noWrap/>
            <w:hideMark/>
          </w:tcPr>
          <w:p w:rsidR="00B80643" w:rsidRDefault="008F4E6C"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F4E6C">
              <w:rPr>
                <w:rFonts w:ascii="Calibri" w:hAnsi="Calibri" w:cs="Calibri"/>
                <w:bCs/>
                <w:color w:val="000000"/>
              </w:rPr>
              <w:t>--</w:t>
            </w:r>
          </w:p>
        </w:tc>
        <w:tc>
          <w:tcPr>
            <w:tcW w:w="2268"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0.3</w:t>
            </w:r>
          </w:p>
        </w:tc>
        <w:tc>
          <w:tcPr>
            <w:tcW w:w="992"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1.3</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16-17</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0.7</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1.7</w:t>
            </w:r>
          </w:p>
        </w:tc>
      </w:tr>
      <w:tr w:rsidR="00B80643"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tcPr>
          <w:p w:rsidR="00B80643" w:rsidRPr="00CD7EAF" w:rsidRDefault="00B80643" w:rsidP="008F4E6C">
            <w:pPr>
              <w:spacing w:before="20" w:after="0"/>
              <w:ind w:firstLineChars="100" w:firstLine="220"/>
              <w:rPr>
                <w:rFonts w:ascii="Calibri" w:eastAsia="Times New Roman" w:hAnsi="Calibri" w:cs="Calibri"/>
                <w:color w:val="000000"/>
                <w:lang w:eastAsia="en-AU"/>
              </w:rPr>
            </w:pPr>
            <w:r>
              <w:rPr>
                <w:rFonts w:ascii="Calibri" w:eastAsia="Times New Roman" w:hAnsi="Calibri" w:cs="Calibri"/>
                <w:color w:val="000000"/>
                <w:lang w:eastAsia="en-AU"/>
              </w:rPr>
              <w:t>18-24</w:t>
            </w:r>
          </w:p>
        </w:tc>
        <w:tc>
          <w:tcPr>
            <w:tcW w:w="1843" w:type="dxa"/>
            <w:noWrap/>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7.0</w:t>
            </w:r>
          </w:p>
        </w:tc>
        <w:tc>
          <w:tcPr>
            <w:tcW w:w="1843" w:type="dxa"/>
            <w:noWrap/>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0.9</w:t>
            </w:r>
          </w:p>
        </w:tc>
        <w:tc>
          <w:tcPr>
            <w:tcW w:w="2410" w:type="dxa"/>
            <w:noWrap/>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0.0</w:t>
            </w:r>
          </w:p>
        </w:tc>
        <w:tc>
          <w:tcPr>
            <w:tcW w:w="2268" w:type="dxa"/>
            <w:noWrap/>
          </w:tcPr>
          <w:p w:rsidR="00B80643" w:rsidRDefault="008F4E6C"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F4E6C">
              <w:rPr>
                <w:rFonts w:ascii="Calibri" w:hAnsi="Calibri" w:cs="Calibri"/>
                <w:bCs/>
                <w:color w:val="000000"/>
              </w:rPr>
              <w:t>--</w:t>
            </w:r>
          </w:p>
        </w:tc>
        <w:tc>
          <w:tcPr>
            <w:tcW w:w="992" w:type="dxa"/>
            <w:noWrap/>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1.2</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rPr>
                <w:rFonts w:ascii="Calibri" w:eastAsia="Times New Roman" w:hAnsi="Calibri" w:cs="Calibri"/>
                <w:b/>
                <w:bCs/>
                <w:color w:val="000000"/>
                <w:lang w:eastAsia="en-AU"/>
              </w:rPr>
            </w:pPr>
            <w:r w:rsidRPr="00CD7EAF">
              <w:rPr>
                <w:rFonts w:ascii="Calibri" w:eastAsia="Times New Roman" w:hAnsi="Calibri" w:cs="Calibri"/>
                <w:b/>
                <w:bCs/>
                <w:color w:val="000000"/>
                <w:lang w:eastAsia="en-AU"/>
              </w:rPr>
              <w:t>Adults</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3.6</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0.6</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2.6</w:t>
            </w:r>
          </w:p>
        </w:tc>
      </w:tr>
      <w:tr w:rsidR="00B80643"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18-24</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0.7</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1.3</w:t>
            </w:r>
          </w:p>
        </w:tc>
        <w:tc>
          <w:tcPr>
            <w:tcW w:w="2410"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0.6</w:t>
            </w:r>
          </w:p>
        </w:tc>
        <w:tc>
          <w:tcPr>
            <w:tcW w:w="2268"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0.5</w:t>
            </w:r>
          </w:p>
        </w:tc>
        <w:tc>
          <w:tcPr>
            <w:tcW w:w="992"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1.1</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25-34</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3.1</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0.4</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w:t>
            </w:r>
          </w:p>
        </w:tc>
      </w:tr>
      <w:tr w:rsidR="00B80643"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35-44</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1.3</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6.3</w:t>
            </w:r>
          </w:p>
        </w:tc>
        <w:tc>
          <w:tcPr>
            <w:tcW w:w="2410"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0.8</w:t>
            </w:r>
          </w:p>
        </w:tc>
        <w:tc>
          <w:tcPr>
            <w:tcW w:w="2268"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2.0</w:t>
            </w:r>
          </w:p>
        </w:tc>
        <w:tc>
          <w:tcPr>
            <w:tcW w:w="992"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4.1</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45-54</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0.6</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w:t>
            </w:r>
          </w:p>
        </w:tc>
      </w:tr>
      <w:tr w:rsidR="00B80643" w:rsidRPr="00CD7EAF" w:rsidTr="008F4E6C">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ind w:firstLineChars="100" w:firstLine="220"/>
              <w:rPr>
                <w:rFonts w:ascii="Calibri" w:eastAsia="Times New Roman" w:hAnsi="Calibri" w:cs="Calibri"/>
                <w:color w:val="000000"/>
                <w:lang w:eastAsia="en-AU"/>
              </w:rPr>
            </w:pPr>
            <w:r w:rsidRPr="00CD7EAF">
              <w:rPr>
                <w:rFonts w:ascii="Calibri" w:eastAsia="Times New Roman" w:hAnsi="Calibri" w:cs="Calibri"/>
                <w:color w:val="000000"/>
                <w:lang w:eastAsia="en-AU"/>
              </w:rPr>
              <w:t>55+</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1.7</w:t>
            </w:r>
          </w:p>
        </w:tc>
        <w:tc>
          <w:tcPr>
            <w:tcW w:w="1843"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4.0</w:t>
            </w:r>
          </w:p>
        </w:tc>
        <w:tc>
          <w:tcPr>
            <w:tcW w:w="2410"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0.0</w:t>
            </w:r>
          </w:p>
        </w:tc>
        <w:tc>
          <w:tcPr>
            <w:tcW w:w="2268"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1.3</w:t>
            </w:r>
          </w:p>
        </w:tc>
        <w:tc>
          <w:tcPr>
            <w:tcW w:w="992" w:type="dxa"/>
            <w:noWrap/>
            <w:hideMark/>
          </w:tcPr>
          <w:p w:rsidR="00B80643" w:rsidRDefault="00B80643" w:rsidP="008F4E6C">
            <w:pPr>
              <w:spacing w:before="20" w:after="0"/>
              <w:contextualSpacing/>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2.7</w:t>
            </w:r>
          </w:p>
        </w:tc>
      </w:tr>
      <w:tr w:rsidR="00B80643" w:rsidRPr="00CD7EAF" w:rsidTr="008F4E6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34" w:type="dxa"/>
            <w:noWrap/>
            <w:hideMark/>
          </w:tcPr>
          <w:p w:rsidR="00B80643" w:rsidRPr="00CD7EAF" w:rsidRDefault="00B80643" w:rsidP="008F4E6C">
            <w:pPr>
              <w:spacing w:before="20" w:after="0"/>
              <w:rPr>
                <w:rFonts w:ascii="Calibri" w:eastAsia="Times New Roman" w:hAnsi="Calibri" w:cs="Calibri"/>
                <w:b/>
                <w:bCs/>
                <w:color w:val="000000"/>
                <w:lang w:eastAsia="en-AU"/>
              </w:rPr>
            </w:pPr>
            <w:r w:rsidRPr="00CD7EAF">
              <w:rPr>
                <w:rFonts w:ascii="Calibri" w:eastAsia="Times New Roman" w:hAnsi="Calibri" w:cs="Calibri"/>
                <w:b/>
                <w:bCs/>
                <w:color w:val="000000"/>
                <w:lang w:eastAsia="en-AU"/>
              </w:rPr>
              <w:t>Total</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1.1</w:t>
            </w:r>
          </w:p>
        </w:tc>
        <w:tc>
          <w:tcPr>
            <w:tcW w:w="1843"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3.2</w:t>
            </w:r>
          </w:p>
        </w:tc>
        <w:tc>
          <w:tcPr>
            <w:tcW w:w="2410"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0.6</w:t>
            </w:r>
          </w:p>
        </w:tc>
        <w:tc>
          <w:tcPr>
            <w:tcW w:w="2268"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1.3</w:t>
            </w:r>
          </w:p>
        </w:tc>
        <w:tc>
          <w:tcPr>
            <w:tcW w:w="992" w:type="dxa"/>
            <w:noWrap/>
            <w:hideMark/>
          </w:tcPr>
          <w:p w:rsidR="00B80643" w:rsidRDefault="00B80643" w:rsidP="008F4E6C">
            <w:pPr>
              <w:spacing w:before="20" w:after="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2.4</w:t>
            </w:r>
          </w:p>
        </w:tc>
      </w:tr>
    </w:tbl>
    <w:p w:rsidR="00DC56A1" w:rsidRDefault="00DC56A1" w:rsidP="00E42591">
      <w:pPr>
        <w:rPr>
          <w:lang w:eastAsia="en-AU"/>
        </w:rPr>
      </w:pPr>
    </w:p>
    <w:p w:rsidR="00E42591" w:rsidRDefault="00E42591" w:rsidP="00E42591">
      <w:pPr>
        <w:rPr>
          <w:lang w:eastAsia="en-AU"/>
        </w:rPr>
      </w:pPr>
      <w:r>
        <w:rPr>
          <w:lang w:eastAsia="en-AU"/>
        </w:rPr>
        <w:t xml:space="preserve">Aboriginal males granted bail had </w:t>
      </w:r>
      <w:r w:rsidR="00C864C0">
        <w:rPr>
          <w:lang w:eastAsia="en-AU"/>
        </w:rPr>
        <w:t>the largest</w:t>
      </w:r>
      <w:r>
        <w:rPr>
          <w:lang w:eastAsia="en-AU"/>
        </w:rPr>
        <w:t xml:space="preserve"> average number of prior </w:t>
      </w:r>
      <w:r w:rsidR="00C864C0">
        <w:rPr>
          <w:lang w:eastAsia="en-AU"/>
        </w:rPr>
        <w:t>periods in custody</w:t>
      </w:r>
      <w:r>
        <w:rPr>
          <w:lang w:eastAsia="en-AU"/>
        </w:rPr>
        <w:t xml:space="preserve">, while non-Aboriginal females had the </w:t>
      </w:r>
      <w:r w:rsidR="00C864C0">
        <w:rPr>
          <w:lang w:eastAsia="en-AU"/>
        </w:rPr>
        <w:t>fewest</w:t>
      </w:r>
      <w:r>
        <w:rPr>
          <w:lang w:eastAsia="en-AU"/>
        </w:rPr>
        <w:t xml:space="preserve">.  For males, adults averaged </w:t>
      </w:r>
      <w:r w:rsidR="00C864C0">
        <w:rPr>
          <w:lang w:eastAsia="en-AU"/>
        </w:rPr>
        <w:t>1.3-</w:t>
      </w:r>
      <w:r w:rsidR="00B80643">
        <w:rPr>
          <w:lang w:eastAsia="en-AU"/>
        </w:rPr>
        <w:t>2.4</w:t>
      </w:r>
      <w:r w:rsidR="00C864C0">
        <w:rPr>
          <w:lang w:eastAsia="en-AU"/>
        </w:rPr>
        <w:t xml:space="preserve"> times as many prior periods in custody</w:t>
      </w:r>
      <w:r>
        <w:rPr>
          <w:lang w:eastAsia="en-AU"/>
        </w:rPr>
        <w:t xml:space="preserve"> as youths.</w:t>
      </w:r>
      <w:r w:rsidR="00C864C0">
        <w:rPr>
          <w:lang w:eastAsia="en-AU"/>
        </w:rPr>
        <w:t xml:space="preserve">  </w:t>
      </w:r>
      <w:r w:rsidR="00B80643">
        <w:rPr>
          <w:lang w:eastAsia="en-AU"/>
        </w:rPr>
        <w:t xml:space="preserve">For </w:t>
      </w:r>
      <w:r w:rsidR="00C864C0">
        <w:rPr>
          <w:lang w:eastAsia="en-AU"/>
        </w:rPr>
        <w:t xml:space="preserve">females, </w:t>
      </w:r>
      <w:r w:rsidR="00B80643">
        <w:rPr>
          <w:lang w:eastAsia="en-AU"/>
        </w:rPr>
        <w:t>adults and youths showed little difference in prior periods of custody</w:t>
      </w:r>
      <w:r w:rsidR="00C864C0">
        <w:rPr>
          <w:lang w:eastAsia="en-AU"/>
        </w:rPr>
        <w:t>.</w:t>
      </w:r>
    </w:p>
    <w:p w:rsidR="00DC56A1" w:rsidRDefault="00DC56A1">
      <w:pPr>
        <w:rPr>
          <w:rFonts w:asciiTheme="majorHAnsi" w:eastAsiaTheme="majorEastAsia" w:hAnsiTheme="majorHAnsi" w:cstheme="majorBidi"/>
          <w:bCs/>
          <w:iCs/>
          <w:color w:val="454347"/>
          <w:sz w:val="32"/>
          <w:szCs w:val="32"/>
          <w:lang w:eastAsia="en-AU"/>
        </w:rPr>
      </w:pPr>
      <w:bookmarkStart w:id="16" w:name="_Toc56585825"/>
      <w:r>
        <w:rPr>
          <w:lang w:eastAsia="en-AU"/>
        </w:rPr>
        <w:br w:type="page"/>
      </w:r>
    </w:p>
    <w:p w:rsidR="00E42591" w:rsidRDefault="00E42591" w:rsidP="00E42591">
      <w:pPr>
        <w:pStyle w:val="Heading2"/>
        <w:rPr>
          <w:lang w:eastAsia="en-AU"/>
        </w:rPr>
      </w:pPr>
      <w:bookmarkStart w:id="17" w:name="_Toc72758050"/>
      <w:r>
        <w:rPr>
          <w:lang w:eastAsia="en-AU"/>
        </w:rPr>
        <w:lastRenderedPageBreak/>
        <w:t>Survival Analysis</w:t>
      </w:r>
      <w:bookmarkEnd w:id="16"/>
      <w:bookmarkEnd w:id="17"/>
      <w:r>
        <w:rPr>
          <w:lang w:eastAsia="en-AU"/>
        </w:rPr>
        <w:t xml:space="preserve"> </w:t>
      </w:r>
    </w:p>
    <w:p w:rsidR="00AD3E0A" w:rsidRDefault="007264B2" w:rsidP="007264B2">
      <w:pPr>
        <w:pStyle w:val="Heading3"/>
        <w:rPr>
          <w:lang w:eastAsia="en-AU"/>
        </w:rPr>
      </w:pPr>
      <w:bookmarkStart w:id="18" w:name="_Toc72758051"/>
      <w:r>
        <w:rPr>
          <w:lang w:eastAsia="en-AU"/>
        </w:rPr>
        <w:t>Adults</w:t>
      </w:r>
      <w:bookmarkEnd w:id="18"/>
    </w:p>
    <w:p w:rsidR="007264B2" w:rsidRDefault="007264B2">
      <w:pPr>
        <w:rPr>
          <w:lang w:eastAsia="en-AU"/>
        </w:rPr>
      </w:pPr>
      <w:r>
        <w:rPr>
          <w:lang w:eastAsia="en-AU"/>
        </w:rPr>
        <w:t>By four months on bail, an estimated 34% of adult bail periods had ended</w:t>
      </w:r>
      <w:r w:rsidR="00B2197E">
        <w:rPr>
          <w:lang w:eastAsia="en-AU"/>
        </w:rPr>
        <w:t xml:space="preserve"> in one of the three events of interest</w:t>
      </w:r>
      <w:r>
        <w:rPr>
          <w:lang w:eastAsia="en-AU"/>
        </w:rPr>
        <w:t>.  In 21% of bail periods, the next event was a new substantive offence; in a further 13%, the next event was a breach of bail offence without other offending; and in 1%, the next event was a return to custody without new offending being recorded</w:t>
      </w:r>
      <w:r w:rsidR="0060695A">
        <w:rPr>
          <w:lang w:eastAsia="en-AU"/>
        </w:rPr>
        <w:t>, such as for a breach of a suspended sentence</w:t>
      </w:r>
      <w:r>
        <w:rPr>
          <w:lang w:eastAsia="en-AU"/>
        </w:rPr>
        <w:t xml:space="preserve"> (</w:t>
      </w:r>
      <w:r>
        <w:rPr>
          <w:lang w:eastAsia="en-AU"/>
        </w:rPr>
        <w:fldChar w:fldCharType="begin"/>
      </w:r>
      <w:r>
        <w:rPr>
          <w:lang w:eastAsia="en-AU"/>
        </w:rPr>
        <w:instrText xml:space="preserve"> REF _Ref64286838 \h </w:instrText>
      </w:r>
      <w:r>
        <w:rPr>
          <w:lang w:eastAsia="en-AU"/>
        </w:rPr>
      </w:r>
      <w:r>
        <w:rPr>
          <w:lang w:eastAsia="en-AU"/>
        </w:rPr>
        <w:fldChar w:fldCharType="separate"/>
      </w:r>
      <w:r w:rsidR="00552D9D">
        <w:t xml:space="preserve">Figure </w:t>
      </w:r>
      <w:r w:rsidR="00552D9D">
        <w:rPr>
          <w:noProof/>
        </w:rPr>
        <w:t>1</w:t>
      </w:r>
      <w:r>
        <w:rPr>
          <w:lang w:eastAsia="en-AU"/>
        </w:rPr>
        <w:fldChar w:fldCharType="end"/>
      </w:r>
      <w:r>
        <w:rPr>
          <w:lang w:eastAsia="en-AU"/>
        </w:rPr>
        <w:t>).</w:t>
      </w:r>
      <w:r w:rsidR="00B2197E">
        <w:rPr>
          <w:lang w:eastAsia="en-AU"/>
        </w:rPr>
        <w:t xml:space="preserve">  The charts were truncated at four</w:t>
      </w:r>
      <w:r w:rsidR="00B2197E" w:rsidRPr="005B3628">
        <w:rPr>
          <w:lang w:eastAsia="en-AU"/>
        </w:rPr>
        <w:t xml:space="preserve"> months</w:t>
      </w:r>
      <w:r w:rsidR="00B2197E">
        <w:rPr>
          <w:lang w:eastAsia="en-AU"/>
        </w:rPr>
        <w:t xml:space="preserve"> on bail as relatively few defendants had longer consecutive periods on bail.  </w:t>
      </w:r>
    </w:p>
    <w:p w:rsidR="007264B2" w:rsidRDefault="007264B2" w:rsidP="007264B2">
      <w:pPr>
        <w:pStyle w:val="Caption"/>
        <w:keepNext/>
      </w:pPr>
      <w:bookmarkStart w:id="19" w:name="_Ref64286838"/>
      <w:r>
        <w:t xml:space="preserve">Figure </w:t>
      </w:r>
      <w:r w:rsidR="00111DFE">
        <w:fldChar w:fldCharType="begin"/>
      </w:r>
      <w:r w:rsidR="00111DFE">
        <w:instrText xml:space="preserve"> SEQ Figure \* ARABIC </w:instrText>
      </w:r>
      <w:r w:rsidR="00111DFE">
        <w:fldChar w:fldCharType="separate"/>
      </w:r>
      <w:r w:rsidR="00552D9D">
        <w:rPr>
          <w:noProof/>
        </w:rPr>
        <w:t>1</w:t>
      </w:r>
      <w:r w:rsidR="00111DFE">
        <w:rPr>
          <w:noProof/>
        </w:rPr>
        <w:fldChar w:fldCharType="end"/>
      </w:r>
      <w:bookmarkEnd w:id="19"/>
      <w:r>
        <w:t xml:space="preserve">.  Cumulative incidence of adult bail periods ending </w:t>
      </w:r>
      <w:r w:rsidR="00AE5122">
        <w:t>in a new event</w:t>
      </w:r>
    </w:p>
    <w:p w:rsidR="007264B2" w:rsidRDefault="00B2197E">
      <w:pPr>
        <w:rPr>
          <w:lang w:eastAsia="en-AU"/>
        </w:rPr>
      </w:pPr>
      <w:r w:rsidRPr="005633AC">
        <w:rPr>
          <w:noProof/>
          <w:lang w:eastAsia="en-AU"/>
        </w:rPr>
        <w:drawing>
          <wp:inline distT="0" distB="0" distL="0" distR="0" wp14:anchorId="437A3FF1" wp14:editId="43F3EA20">
            <wp:extent cx="5025390" cy="36576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1C1C22" w:rsidRDefault="00B2197E">
      <w:pPr>
        <w:rPr>
          <w:lang w:eastAsia="en-AU"/>
        </w:rPr>
      </w:pPr>
      <w:r>
        <w:rPr>
          <w:lang w:eastAsia="en-AU"/>
        </w:rPr>
        <w:t xml:space="preserve">Because of the amendment to the </w:t>
      </w:r>
      <w:r>
        <w:rPr>
          <w:i/>
          <w:lang w:eastAsia="en-AU"/>
        </w:rPr>
        <w:t>Bail Act 1982</w:t>
      </w:r>
      <w:r>
        <w:rPr>
          <w:lang w:eastAsia="en-AU"/>
        </w:rPr>
        <w:t xml:space="preserve"> that commenced on 2 March 2020, bail periods were split into those that ended prior to March 2020, those that spanned the beginning of March 2020, and those that commenced from March 2020 onwards.  Although the amendment involved the removal of breach of bail conditions for youth as an offence, </w:t>
      </w:r>
      <w:r w:rsidR="001C1C22">
        <w:rPr>
          <w:lang w:eastAsia="en-AU"/>
        </w:rPr>
        <w:t xml:space="preserve">rather than changes for adults, </w:t>
      </w:r>
      <w:r>
        <w:rPr>
          <w:lang w:eastAsia="en-AU"/>
        </w:rPr>
        <w:t xml:space="preserve">the adult </w:t>
      </w:r>
      <w:r w:rsidR="001C1C22">
        <w:rPr>
          <w:lang w:eastAsia="en-AU"/>
        </w:rPr>
        <w:t>records were</w:t>
      </w:r>
      <w:r>
        <w:rPr>
          <w:lang w:eastAsia="en-AU"/>
        </w:rPr>
        <w:t xml:space="preserve"> also considered across the three </w:t>
      </w:r>
      <w:r w:rsidR="001C1C22">
        <w:rPr>
          <w:lang w:eastAsia="en-AU"/>
        </w:rPr>
        <w:t xml:space="preserve">time </w:t>
      </w:r>
      <w:r>
        <w:rPr>
          <w:lang w:eastAsia="en-AU"/>
        </w:rPr>
        <w:t xml:space="preserve">periods, </w:t>
      </w:r>
      <w:r w:rsidR="001C1C22">
        <w:rPr>
          <w:lang w:eastAsia="en-AU"/>
        </w:rPr>
        <w:t>to provide a comparison for the youth data.</w:t>
      </w:r>
    </w:p>
    <w:p w:rsidR="00201DEF" w:rsidRDefault="00201DEF">
      <w:pPr>
        <w:rPr>
          <w:lang w:eastAsia="en-AU"/>
        </w:rPr>
      </w:pPr>
      <w:r>
        <w:rPr>
          <w:lang w:eastAsia="en-AU"/>
        </w:rPr>
        <w:fldChar w:fldCharType="begin"/>
      </w:r>
      <w:r>
        <w:rPr>
          <w:lang w:eastAsia="en-AU"/>
        </w:rPr>
        <w:instrText xml:space="preserve"> REF _Ref64288437 \h </w:instrText>
      </w:r>
      <w:r>
        <w:rPr>
          <w:lang w:eastAsia="en-AU"/>
        </w:rPr>
      </w:r>
      <w:r>
        <w:rPr>
          <w:lang w:eastAsia="en-AU"/>
        </w:rPr>
        <w:fldChar w:fldCharType="separate"/>
      </w:r>
      <w:r w:rsidR="00552D9D">
        <w:t xml:space="preserve">Table </w:t>
      </w:r>
      <w:r w:rsidR="00552D9D">
        <w:rPr>
          <w:noProof/>
        </w:rPr>
        <w:t>5</w:t>
      </w:r>
      <w:r>
        <w:rPr>
          <w:lang w:eastAsia="en-AU"/>
        </w:rPr>
        <w:fldChar w:fldCharType="end"/>
      </w:r>
      <w:r>
        <w:rPr>
          <w:lang w:eastAsia="en-AU"/>
        </w:rPr>
        <w:t xml:space="preserve"> shows the cumulative incidence of bail ending in one of the three events within 4 months, broken down by event type.</w:t>
      </w:r>
    </w:p>
    <w:p w:rsidR="001C1C22" w:rsidRDefault="001C1C22" w:rsidP="001C1C22">
      <w:pPr>
        <w:pStyle w:val="Caption"/>
        <w:keepNext/>
      </w:pPr>
      <w:bookmarkStart w:id="20" w:name="_Ref64288437"/>
      <w:r>
        <w:t xml:space="preserve">Table </w:t>
      </w:r>
      <w:r w:rsidR="00111DFE">
        <w:fldChar w:fldCharType="begin"/>
      </w:r>
      <w:r w:rsidR="00111DFE">
        <w:instrText xml:space="preserve"> SEQ Table \* ARABIC </w:instrText>
      </w:r>
      <w:r w:rsidR="00111DFE">
        <w:fldChar w:fldCharType="separate"/>
      </w:r>
      <w:r w:rsidR="00552D9D">
        <w:rPr>
          <w:noProof/>
        </w:rPr>
        <w:t>5</w:t>
      </w:r>
      <w:r w:rsidR="00111DFE">
        <w:rPr>
          <w:noProof/>
        </w:rPr>
        <w:fldChar w:fldCharType="end"/>
      </w:r>
      <w:bookmarkEnd w:id="20"/>
      <w:r>
        <w:t xml:space="preserve">.  Cumulative incidence of bail ending </w:t>
      </w:r>
      <w:r w:rsidR="00201DEF">
        <w:t>in a new event</w:t>
      </w:r>
      <w:r>
        <w:t xml:space="preserve"> within 4 months, adults</w:t>
      </w:r>
    </w:p>
    <w:tbl>
      <w:tblPr>
        <w:tblStyle w:val="NTGtable1"/>
        <w:tblW w:w="0" w:type="auto"/>
        <w:tblLook w:val="04A0" w:firstRow="1" w:lastRow="0" w:firstColumn="1" w:lastColumn="0" w:noHBand="0" w:noVBand="1"/>
      </w:tblPr>
      <w:tblGrid>
        <w:gridCol w:w="3539"/>
        <w:gridCol w:w="1692"/>
        <w:gridCol w:w="1692"/>
        <w:gridCol w:w="1692"/>
        <w:gridCol w:w="1693"/>
      </w:tblGrid>
      <w:tr w:rsidR="001C1C22" w:rsidTr="001C1C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Pr>
          <w:p w:rsidR="001C1C22" w:rsidRDefault="001C1C22">
            <w:pPr>
              <w:rPr>
                <w:lang w:eastAsia="en-AU"/>
              </w:rPr>
            </w:pPr>
          </w:p>
        </w:tc>
        <w:tc>
          <w:tcPr>
            <w:tcW w:w="1692" w:type="dxa"/>
          </w:tcPr>
          <w:p w:rsidR="001C1C22" w:rsidRDefault="001C1C22" w:rsidP="001C1C2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New offence</w:t>
            </w:r>
          </w:p>
        </w:tc>
        <w:tc>
          <w:tcPr>
            <w:tcW w:w="1692" w:type="dxa"/>
          </w:tcPr>
          <w:p w:rsidR="001C1C22" w:rsidRDefault="001C1C22" w:rsidP="001C1C2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Breach of bail</w:t>
            </w:r>
          </w:p>
        </w:tc>
        <w:tc>
          <w:tcPr>
            <w:tcW w:w="1692" w:type="dxa"/>
          </w:tcPr>
          <w:p w:rsidR="001C1C22" w:rsidRDefault="001C1C22" w:rsidP="001C1C2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Custody</w:t>
            </w:r>
          </w:p>
        </w:tc>
        <w:tc>
          <w:tcPr>
            <w:tcW w:w="1693" w:type="dxa"/>
          </w:tcPr>
          <w:p w:rsidR="001C1C22" w:rsidRDefault="001C1C22" w:rsidP="001C1C2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Total</w:t>
            </w:r>
          </w:p>
        </w:tc>
      </w:tr>
      <w:tr w:rsidR="001C1C22" w:rsidTr="001C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C1C22" w:rsidRDefault="001C1C22">
            <w:pPr>
              <w:rPr>
                <w:lang w:eastAsia="en-AU"/>
              </w:rPr>
            </w:pPr>
            <w:r>
              <w:rPr>
                <w:lang w:eastAsia="en-AU"/>
              </w:rPr>
              <w:t>All periods on bail</w:t>
            </w:r>
          </w:p>
        </w:tc>
        <w:tc>
          <w:tcPr>
            <w:tcW w:w="1692"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21%</w:t>
            </w:r>
          </w:p>
        </w:tc>
        <w:tc>
          <w:tcPr>
            <w:tcW w:w="1692"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13%</w:t>
            </w:r>
          </w:p>
        </w:tc>
        <w:tc>
          <w:tcPr>
            <w:tcW w:w="1692"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693"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34%</w:t>
            </w:r>
          </w:p>
        </w:tc>
      </w:tr>
      <w:tr w:rsidR="001C1C22" w:rsidTr="001C1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C1C22" w:rsidRDefault="001C1C22">
            <w:pPr>
              <w:rPr>
                <w:lang w:eastAsia="en-AU"/>
              </w:rPr>
            </w:pPr>
            <w:r>
              <w:rPr>
                <w:lang w:eastAsia="en-AU"/>
              </w:rPr>
              <w:t>Bail ending prior to March 2020</w:t>
            </w:r>
          </w:p>
        </w:tc>
        <w:tc>
          <w:tcPr>
            <w:tcW w:w="1692"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26%</w:t>
            </w:r>
          </w:p>
        </w:tc>
        <w:tc>
          <w:tcPr>
            <w:tcW w:w="1692"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16%</w:t>
            </w:r>
          </w:p>
        </w:tc>
        <w:tc>
          <w:tcPr>
            <w:tcW w:w="1692"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w:t>
            </w:r>
          </w:p>
        </w:tc>
        <w:tc>
          <w:tcPr>
            <w:tcW w:w="1693"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43%</w:t>
            </w:r>
          </w:p>
        </w:tc>
      </w:tr>
      <w:tr w:rsidR="001C1C22" w:rsidTr="001C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C1C22" w:rsidRDefault="001C1C22">
            <w:pPr>
              <w:rPr>
                <w:lang w:eastAsia="en-AU"/>
              </w:rPr>
            </w:pPr>
            <w:r>
              <w:rPr>
                <w:lang w:eastAsia="en-AU"/>
              </w:rPr>
              <w:t>Bail spanning 1 March 2020</w:t>
            </w:r>
          </w:p>
        </w:tc>
        <w:tc>
          <w:tcPr>
            <w:tcW w:w="1692"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18%</w:t>
            </w:r>
          </w:p>
        </w:tc>
        <w:tc>
          <w:tcPr>
            <w:tcW w:w="1692"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11%</w:t>
            </w:r>
          </w:p>
        </w:tc>
        <w:tc>
          <w:tcPr>
            <w:tcW w:w="1692"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693" w:type="dxa"/>
          </w:tcPr>
          <w:p w:rsidR="001C1C22" w:rsidRDefault="001C1C22" w:rsidP="001C1C22">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30%</w:t>
            </w:r>
          </w:p>
        </w:tc>
      </w:tr>
      <w:tr w:rsidR="001C1C22" w:rsidTr="001C1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C1C22" w:rsidRDefault="001C1C22">
            <w:pPr>
              <w:rPr>
                <w:lang w:eastAsia="en-AU"/>
              </w:rPr>
            </w:pPr>
            <w:r>
              <w:rPr>
                <w:lang w:eastAsia="en-AU"/>
              </w:rPr>
              <w:t>Bail beginning from March 2020</w:t>
            </w:r>
          </w:p>
        </w:tc>
        <w:tc>
          <w:tcPr>
            <w:tcW w:w="1692"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21%</w:t>
            </w:r>
          </w:p>
        </w:tc>
        <w:tc>
          <w:tcPr>
            <w:tcW w:w="1692"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12%</w:t>
            </w:r>
          </w:p>
        </w:tc>
        <w:tc>
          <w:tcPr>
            <w:tcW w:w="1692"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w:t>
            </w:r>
          </w:p>
        </w:tc>
        <w:tc>
          <w:tcPr>
            <w:tcW w:w="1693" w:type="dxa"/>
          </w:tcPr>
          <w:p w:rsidR="001C1C22" w:rsidRDefault="001C1C22" w:rsidP="001C1C22">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34%</w:t>
            </w:r>
          </w:p>
        </w:tc>
      </w:tr>
    </w:tbl>
    <w:p w:rsidR="005C3931" w:rsidRDefault="005C3931">
      <w:pPr>
        <w:rPr>
          <w:lang w:eastAsia="en-AU"/>
        </w:rPr>
      </w:pPr>
    </w:p>
    <w:p w:rsidR="00201DEF" w:rsidRDefault="005D4063">
      <w:pPr>
        <w:rPr>
          <w:lang w:eastAsia="en-AU"/>
        </w:rPr>
      </w:pPr>
      <w:r>
        <w:rPr>
          <w:lang w:eastAsia="en-AU"/>
        </w:rPr>
        <w:lastRenderedPageBreak/>
        <w:fldChar w:fldCharType="begin"/>
      </w:r>
      <w:r>
        <w:rPr>
          <w:lang w:eastAsia="en-AU"/>
        </w:rPr>
        <w:instrText xml:space="preserve"> REF _Ref67576743 \h </w:instrText>
      </w:r>
      <w:r>
        <w:rPr>
          <w:lang w:eastAsia="en-AU"/>
        </w:rPr>
      </w:r>
      <w:r>
        <w:rPr>
          <w:lang w:eastAsia="en-AU"/>
        </w:rPr>
        <w:fldChar w:fldCharType="separate"/>
      </w:r>
      <w:r>
        <w:t xml:space="preserve">Figure </w:t>
      </w:r>
      <w:r>
        <w:rPr>
          <w:noProof/>
        </w:rPr>
        <w:t>2</w:t>
      </w:r>
      <w:r>
        <w:rPr>
          <w:lang w:eastAsia="en-AU"/>
        </w:rPr>
        <w:fldChar w:fldCharType="end"/>
      </w:r>
      <w:r>
        <w:rPr>
          <w:lang w:eastAsia="en-AU"/>
        </w:rPr>
        <w:t xml:space="preserve"> </w:t>
      </w:r>
      <w:r w:rsidR="007901F5">
        <w:rPr>
          <w:lang w:eastAsia="en-AU"/>
        </w:rPr>
        <w:t xml:space="preserve">shows the cumulative incidence of the three types of events for bail </w:t>
      </w:r>
      <w:proofErr w:type="spellStart"/>
      <w:r w:rsidR="007901F5">
        <w:rPr>
          <w:lang w:eastAsia="en-AU"/>
        </w:rPr>
        <w:t>ending</w:t>
      </w:r>
      <w:proofErr w:type="spellEnd"/>
      <w:r w:rsidR="007901F5">
        <w:rPr>
          <w:lang w:eastAsia="en-AU"/>
        </w:rPr>
        <w:t xml:space="preserve"> before, or beginning since, March 2020.</w:t>
      </w:r>
      <w:r w:rsidR="0060695A">
        <w:rPr>
          <w:lang w:eastAsia="en-AU"/>
        </w:rPr>
        <w:t xml:space="preserve">  Both new offending and breach of bail reduced for adults on bail.</w:t>
      </w:r>
    </w:p>
    <w:p w:rsidR="00B304C5" w:rsidRDefault="00B304C5" w:rsidP="00B304C5">
      <w:pPr>
        <w:pStyle w:val="Caption"/>
        <w:keepNext/>
      </w:pPr>
      <w:bookmarkStart w:id="21" w:name="_Ref67576743"/>
      <w:r>
        <w:t xml:space="preserve">Figure </w:t>
      </w:r>
      <w:r w:rsidR="00111DFE">
        <w:fldChar w:fldCharType="begin"/>
      </w:r>
      <w:r w:rsidR="00111DFE">
        <w:instrText xml:space="preserve"> SEQ Figure \* ARABIC </w:instrText>
      </w:r>
      <w:r w:rsidR="00111DFE">
        <w:fldChar w:fldCharType="separate"/>
      </w:r>
      <w:r w:rsidR="00552D9D">
        <w:rPr>
          <w:noProof/>
        </w:rPr>
        <w:t>2</w:t>
      </w:r>
      <w:r w:rsidR="00111DFE">
        <w:rPr>
          <w:noProof/>
        </w:rPr>
        <w:fldChar w:fldCharType="end"/>
      </w:r>
      <w:bookmarkEnd w:id="21"/>
      <w:r>
        <w:t>.  Cumulative incidence of adult bail ending in a new event, before and after March 2020</w:t>
      </w:r>
    </w:p>
    <w:p w:rsidR="007901F5" w:rsidRDefault="00B304C5">
      <w:pPr>
        <w:rPr>
          <w:lang w:eastAsia="en-AU"/>
        </w:rPr>
      </w:pPr>
      <w:r w:rsidRPr="00B304C5">
        <w:rPr>
          <w:noProof/>
          <w:lang w:eastAsia="en-AU"/>
        </w:rPr>
        <w:drawing>
          <wp:inline distT="0" distB="0" distL="0" distR="0">
            <wp:extent cx="6551930" cy="327596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1930" cy="3275965"/>
                    </a:xfrm>
                    <a:prstGeom prst="rect">
                      <a:avLst/>
                    </a:prstGeom>
                    <a:noFill/>
                    <a:ln>
                      <a:noFill/>
                    </a:ln>
                  </pic:spPr>
                </pic:pic>
              </a:graphicData>
            </a:graphic>
          </wp:inline>
        </w:drawing>
      </w:r>
    </w:p>
    <w:p w:rsidR="00B92B62" w:rsidRDefault="00B92B62">
      <w:pPr>
        <w:rPr>
          <w:lang w:eastAsia="en-AU"/>
        </w:rPr>
      </w:pPr>
      <w:r>
        <w:rPr>
          <w:lang w:eastAsia="en-AU"/>
        </w:rPr>
        <w:t>The percentage of adult bail periods ending in a new offence dropped from 26% to 21% for the before- and after-March periods, though offending for bail spanning March 2020 was lower still, at 18%.  Bail ending in breach of bail dropped from 16% to 12% (again with breach of bail for bail spanning March 2020 being lower still, at 11%).  Overall, the percentage of adult bail periods ending in a new justice-related event dropped from 43% to 34%.</w:t>
      </w:r>
    </w:p>
    <w:p w:rsidR="00717385" w:rsidRDefault="00717385">
      <w:pPr>
        <w:rPr>
          <w:rFonts w:asciiTheme="majorHAnsi" w:hAnsiTheme="majorHAnsi" w:cs="Arial"/>
          <w:bCs/>
          <w:color w:val="1F1F5F" w:themeColor="text1"/>
          <w:sz w:val="28"/>
          <w:szCs w:val="28"/>
          <w:lang w:eastAsia="en-AU"/>
        </w:rPr>
      </w:pPr>
      <w:r>
        <w:rPr>
          <w:lang w:eastAsia="en-AU"/>
        </w:rPr>
        <w:br w:type="page"/>
      </w:r>
    </w:p>
    <w:p w:rsidR="00201DEF" w:rsidRDefault="00201DEF" w:rsidP="00201DEF">
      <w:pPr>
        <w:pStyle w:val="Heading3"/>
        <w:rPr>
          <w:lang w:eastAsia="en-AU"/>
        </w:rPr>
      </w:pPr>
      <w:bookmarkStart w:id="22" w:name="_Toc72758052"/>
      <w:r>
        <w:rPr>
          <w:lang w:eastAsia="en-AU"/>
        </w:rPr>
        <w:lastRenderedPageBreak/>
        <w:t>Youth</w:t>
      </w:r>
      <w:bookmarkEnd w:id="22"/>
    </w:p>
    <w:p w:rsidR="00AE5122" w:rsidRPr="00AE5122" w:rsidRDefault="00AE5122" w:rsidP="00AE5122">
      <w:pPr>
        <w:rPr>
          <w:lang w:eastAsia="en-AU"/>
        </w:rPr>
      </w:pPr>
      <w:r>
        <w:rPr>
          <w:lang w:eastAsia="en-AU"/>
        </w:rPr>
        <w:t xml:space="preserve">By four months on bail, an estimated 65% of </w:t>
      </w:r>
      <w:r w:rsidR="008E3460">
        <w:rPr>
          <w:lang w:eastAsia="en-AU"/>
        </w:rPr>
        <w:t>youth</w:t>
      </w:r>
      <w:r>
        <w:rPr>
          <w:lang w:eastAsia="en-AU"/>
        </w:rPr>
        <w:t xml:space="preserve"> bail periods had ended in one of the three events of interest.  In 42% of bail periods, the next event was a new substantive offence; in a further 20%, the next event was a breach of bail offence without other offending; and in 3%, the next event was a return to custody without new offending being recorded (</w:t>
      </w:r>
      <w:r>
        <w:rPr>
          <w:lang w:eastAsia="en-AU"/>
        </w:rPr>
        <w:fldChar w:fldCharType="begin"/>
      </w:r>
      <w:r>
        <w:rPr>
          <w:lang w:eastAsia="en-AU"/>
        </w:rPr>
        <w:instrText xml:space="preserve"> REF _Ref64291660 \h </w:instrText>
      </w:r>
      <w:r>
        <w:rPr>
          <w:lang w:eastAsia="en-AU"/>
        </w:rPr>
      </w:r>
      <w:r>
        <w:rPr>
          <w:lang w:eastAsia="en-AU"/>
        </w:rPr>
        <w:fldChar w:fldCharType="separate"/>
      </w:r>
      <w:r w:rsidR="00552D9D">
        <w:t xml:space="preserve">Figure </w:t>
      </w:r>
      <w:r w:rsidR="00552D9D">
        <w:rPr>
          <w:noProof/>
        </w:rPr>
        <w:t>3</w:t>
      </w:r>
      <w:r>
        <w:rPr>
          <w:lang w:eastAsia="en-AU"/>
        </w:rPr>
        <w:fldChar w:fldCharType="end"/>
      </w:r>
      <w:r>
        <w:rPr>
          <w:lang w:eastAsia="en-AU"/>
        </w:rPr>
        <w:t xml:space="preserve">).  </w:t>
      </w:r>
    </w:p>
    <w:p w:rsidR="00F1522B" w:rsidRDefault="00F1522B" w:rsidP="00F1522B">
      <w:pPr>
        <w:pStyle w:val="Caption"/>
        <w:keepNext/>
      </w:pPr>
      <w:bookmarkStart w:id="23" w:name="_Ref64291660"/>
      <w:r>
        <w:t xml:space="preserve">Figure </w:t>
      </w:r>
      <w:r w:rsidR="00111DFE">
        <w:fldChar w:fldCharType="begin"/>
      </w:r>
      <w:r w:rsidR="00111DFE">
        <w:instrText xml:space="preserve"> SEQ Figure \* ARABIC </w:instrText>
      </w:r>
      <w:r w:rsidR="00111DFE">
        <w:fldChar w:fldCharType="separate"/>
      </w:r>
      <w:r w:rsidR="00552D9D">
        <w:rPr>
          <w:noProof/>
        </w:rPr>
        <w:t>3</w:t>
      </w:r>
      <w:r w:rsidR="00111DFE">
        <w:rPr>
          <w:noProof/>
        </w:rPr>
        <w:fldChar w:fldCharType="end"/>
      </w:r>
      <w:bookmarkEnd w:id="23"/>
      <w:r>
        <w:t xml:space="preserve">.  Cumulative incidence of </w:t>
      </w:r>
      <w:r w:rsidR="00AE5122">
        <w:t xml:space="preserve">youth </w:t>
      </w:r>
      <w:r>
        <w:t xml:space="preserve">bail </w:t>
      </w:r>
      <w:r w:rsidR="00AE5122">
        <w:t xml:space="preserve">periods </w:t>
      </w:r>
      <w:r>
        <w:t xml:space="preserve">ending in a new event </w:t>
      </w:r>
    </w:p>
    <w:p w:rsidR="00201DEF" w:rsidRDefault="00F1522B">
      <w:pPr>
        <w:rPr>
          <w:lang w:eastAsia="en-AU"/>
        </w:rPr>
      </w:pPr>
      <w:r w:rsidRPr="005633AC">
        <w:rPr>
          <w:noProof/>
          <w:lang w:eastAsia="en-AU"/>
        </w:rPr>
        <w:drawing>
          <wp:inline distT="0" distB="0" distL="0" distR="0" wp14:anchorId="4069C60E" wp14:editId="34DFE173">
            <wp:extent cx="5025390" cy="36576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AE5122" w:rsidRDefault="00AE5122">
      <w:pPr>
        <w:rPr>
          <w:lang w:eastAsia="en-AU"/>
        </w:rPr>
      </w:pPr>
      <w:r>
        <w:rPr>
          <w:lang w:eastAsia="en-AU"/>
        </w:rPr>
        <w:t xml:space="preserve">As expected, the incidence of bail periods ending in a breach of bail offence without other offending dropped substantially after the amendment to the </w:t>
      </w:r>
      <w:r w:rsidRPr="00AE5122">
        <w:rPr>
          <w:i/>
          <w:lang w:eastAsia="en-AU"/>
        </w:rPr>
        <w:t>Bail Act 1982</w:t>
      </w:r>
      <w:r>
        <w:rPr>
          <w:lang w:eastAsia="en-AU"/>
        </w:rPr>
        <w:t xml:space="preserve"> came into force on 2 March 2020.  For youth bail ending prior to March 2020, 90% resulted in the youth committing a new substantive offence, committing a breach of bail offence, or returning to custody </w:t>
      </w:r>
      <w:r w:rsidR="002D059C">
        <w:rPr>
          <w:lang w:eastAsia="en-AU"/>
        </w:rPr>
        <w:t>without a new offence</w:t>
      </w:r>
      <w:r>
        <w:rPr>
          <w:lang w:eastAsia="en-AU"/>
        </w:rPr>
        <w:t xml:space="preserve"> (</w:t>
      </w:r>
      <w:r>
        <w:rPr>
          <w:lang w:eastAsia="en-AU"/>
        </w:rPr>
        <w:fldChar w:fldCharType="begin"/>
      </w:r>
      <w:r>
        <w:rPr>
          <w:lang w:eastAsia="en-AU"/>
        </w:rPr>
        <w:instrText xml:space="preserve"> REF _Ref64291874 \h </w:instrText>
      </w:r>
      <w:r>
        <w:rPr>
          <w:lang w:eastAsia="en-AU"/>
        </w:rPr>
      </w:r>
      <w:r>
        <w:rPr>
          <w:lang w:eastAsia="en-AU"/>
        </w:rPr>
        <w:fldChar w:fldCharType="separate"/>
      </w:r>
      <w:r w:rsidR="00552D9D">
        <w:t xml:space="preserve">Table </w:t>
      </w:r>
      <w:r w:rsidR="00552D9D">
        <w:rPr>
          <w:noProof/>
        </w:rPr>
        <w:t>6</w:t>
      </w:r>
      <w:r>
        <w:rPr>
          <w:lang w:eastAsia="en-AU"/>
        </w:rPr>
        <w:fldChar w:fldCharType="end"/>
      </w:r>
      <w:r>
        <w:rPr>
          <w:lang w:eastAsia="en-AU"/>
        </w:rPr>
        <w:t xml:space="preserve">).  For bail commencing from March 2020 onwards, however, </w:t>
      </w:r>
      <w:r w:rsidR="008E3460">
        <w:rPr>
          <w:lang w:eastAsia="en-AU"/>
        </w:rPr>
        <w:t>48</w:t>
      </w:r>
      <w:r>
        <w:rPr>
          <w:lang w:eastAsia="en-AU"/>
        </w:rPr>
        <w:t>% of bail periods resulted in a new event, with only 3% resulting in a breach of bail offence</w:t>
      </w:r>
      <w:r w:rsidR="008E3460">
        <w:rPr>
          <w:lang w:eastAsia="en-AU"/>
        </w:rPr>
        <w:t xml:space="preserve"> without other offending</w:t>
      </w:r>
      <w:r>
        <w:rPr>
          <w:lang w:eastAsia="en-AU"/>
        </w:rPr>
        <w:t>.</w:t>
      </w:r>
    </w:p>
    <w:p w:rsidR="00201DEF" w:rsidRDefault="00201DEF" w:rsidP="00201DEF">
      <w:pPr>
        <w:pStyle w:val="Caption"/>
        <w:keepNext/>
      </w:pPr>
      <w:bookmarkStart w:id="24" w:name="_Ref64291874"/>
      <w:r>
        <w:t xml:space="preserve">Table </w:t>
      </w:r>
      <w:r w:rsidR="00111DFE">
        <w:fldChar w:fldCharType="begin"/>
      </w:r>
      <w:r w:rsidR="00111DFE">
        <w:instrText xml:space="preserve"> SEQ Table \* ARABIC </w:instrText>
      </w:r>
      <w:r w:rsidR="00111DFE">
        <w:fldChar w:fldCharType="separate"/>
      </w:r>
      <w:r w:rsidR="00552D9D">
        <w:rPr>
          <w:noProof/>
        </w:rPr>
        <w:t>6</w:t>
      </w:r>
      <w:r w:rsidR="00111DFE">
        <w:rPr>
          <w:noProof/>
        </w:rPr>
        <w:fldChar w:fldCharType="end"/>
      </w:r>
      <w:bookmarkEnd w:id="24"/>
      <w:r>
        <w:t>.  Cumulative incidence of bail ending in a new event within 4 months, youth</w:t>
      </w:r>
    </w:p>
    <w:tbl>
      <w:tblPr>
        <w:tblStyle w:val="NTGtable1"/>
        <w:tblW w:w="0" w:type="auto"/>
        <w:tblLook w:val="04A0" w:firstRow="1" w:lastRow="0" w:firstColumn="1" w:lastColumn="0" w:noHBand="0" w:noVBand="1"/>
      </w:tblPr>
      <w:tblGrid>
        <w:gridCol w:w="3539"/>
        <w:gridCol w:w="1692"/>
        <w:gridCol w:w="1692"/>
        <w:gridCol w:w="1692"/>
        <w:gridCol w:w="1693"/>
      </w:tblGrid>
      <w:tr w:rsidR="00201DEF" w:rsidTr="00201D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Pr>
          <w:p w:rsidR="00201DEF" w:rsidRDefault="00201DEF" w:rsidP="00201DEF">
            <w:pPr>
              <w:rPr>
                <w:lang w:eastAsia="en-AU"/>
              </w:rPr>
            </w:pPr>
          </w:p>
        </w:tc>
        <w:tc>
          <w:tcPr>
            <w:tcW w:w="1692" w:type="dxa"/>
          </w:tcPr>
          <w:p w:rsidR="00201DEF" w:rsidRDefault="00201DEF" w:rsidP="00201D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New offence</w:t>
            </w:r>
          </w:p>
        </w:tc>
        <w:tc>
          <w:tcPr>
            <w:tcW w:w="1692" w:type="dxa"/>
          </w:tcPr>
          <w:p w:rsidR="00201DEF" w:rsidRDefault="00201DEF" w:rsidP="00201D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Breach of bail</w:t>
            </w:r>
          </w:p>
        </w:tc>
        <w:tc>
          <w:tcPr>
            <w:tcW w:w="1692" w:type="dxa"/>
          </w:tcPr>
          <w:p w:rsidR="00201DEF" w:rsidRDefault="00201DEF" w:rsidP="00201D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Custody</w:t>
            </w:r>
          </w:p>
        </w:tc>
        <w:tc>
          <w:tcPr>
            <w:tcW w:w="1693" w:type="dxa"/>
          </w:tcPr>
          <w:p w:rsidR="00201DEF" w:rsidRDefault="00201DEF" w:rsidP="00201D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Total</w:t>
            </w:r>
          </w:p>
        </w:tc>
      </w:tr>
      <w:tr w:rsidR="00201DEF" w:rsidTr="0020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01DEF" w:rsidRDefault="00201DEF" w:rsidP="00201DEF">
            <w:pPr>
              <w:rPr>
                <w:lang w:eastAsia="en-AU"/>
              </w:rPr>
            </w:pPr>
            <w:r>
              <w:rPr>
                <w:lang w:eastAsia="en-AU"/>
              </w:rPr>
              <w:t>All periods on bail</w:t>
            </w:r>
          </w:p>
        </w:tc>
        <w:tc>
          <w:tcPr>
            <w:tcW w:w="1692"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42%</w:t>
            </w:r>
          </w:p>
        </w:tc>
        <w:tc>
          <w:tcPr>
            <w:tcW w:w="1692"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20%</w:t>
            </w:r>
          </w:p>
        </w:tc>
        <w:tc>
          <w:tcPr>
            <w:tcW w:w="1692"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693"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65%</w:t>
            </w:r>
          </w:p>
        </w:tc>
      </w:tr>
      <w:tr w:rsidR="00201DEF" w:rsidTr="0020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01DEF" w:rsidRDefault="00201DEF" w:rsidP="00201DEF">
            <w:pPr>
              <w:rPr>
                <w:lang w:eastAsia="en-AU"/>
              </w:rPr>
            </w:pPr>
            <w:r>
              <w:rPr>
                <w:lang w:eastAsia="en-AU"/>
              </w:rPr>
              <w:t>Bail ending prior to March 2020</w:t>
            </w:r>
          </w:p>
        </w:tc>
        <w:tc>
          <w:tcPr>
            <w:tcW w:w="1692"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50%</w:t>
            </w:r>
          </w:p>
        </w:tc>
        <w:tc>
          <w:tcPr>
            <w:tcW w:w="1692"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37%</w:t>
            </w:r>
          </w:p>
        </w:tc>
        <w:tc>
          <w:tcPr>
            <w:tcW w:w="1692"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1693"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90%</w:t>
            </w:r>
          </w:p>
        </w:tc>
      </w:tr>
      <w:tr w:rsidR="00201DEF" w:rsidTr="0020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01DEF" w:rsidRDefault="00201DEF" w:rsidP="00201DEF">
            <w:pPr>
              <w:rPr>
                <w:lang w:eastAsia="en-AU"/>
              </w:rPr>
            </w:pPr>
            <w:r>
              <w:rPr>
                <w:lang w:eastAsia="en-AU"/>
              </w:rPr>
              <w:t>Bail spanning 1 March 2020</w:t>
            </w:r>
          </w:p>
        </w:tc>
        <w:tc>
          <w:tcPr>
            <w:tcW w:w="1692"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41%</w:t>
            </w:r>
          </w:p>
        </w:tc>
        <w:tc>
          <w:tcPr>
            <w:tcW w:w="1692"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23%</w:t>
            </w:r>
          </w:p>
        </w:tc>
        <w:tc>
          <w:tcPr>
            <w:tcW w:w="1692"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693" w:type="dxa"/>
          </w:tcPr>
          <w:p w:rsidR="00201DEF" w:rsidRDefault="00201DEF" w:rsidP="00201DE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68%</w:t>
            </w:r>
          </w:p>
        </w:tc>
      </w:tr>
      <w:tr w:rsidR="00201DEF" w:rsidTr="0020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201DEF" w:rsidRDefault="00201DEF" w:rsidP="00201DEF">
            <w:pPr>
              <w:rPr>
                <w:lang w:eastAsia="en-AU"/>
              </w:rPr>
            </w:pPr>
            <w:r>
              <w:rPr>
                <w:lang w:eastAsia="en-AU"/>
              </w:rPr>
              <w:t>Bail beginning from March 2020</w:t>
            </w:r>
          </w:p>
        </w:tc>
        <w:tc>
          <w:tcPr>
            <w:tcW w:w="1692"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41%</w:t>
            </w:r>
          </w:p>
        </w:tc>
        <w:tc>
          <w:tcPr>
            <w:tcW w:w="1692"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w:t>
            </w:r>
          </w:p>
        </w:tc>
        <w:tc>
          <w:tcPr>
            <w:tcW w:w="1692"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1693" w:type="dxa"/>
          </w:tcPr>
          <w:p w:rsidR="00201DEF" w:rsidRDefault="00201DEF" w:rsidP="00201DEF">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48%</w:t>
            </w:r>
          </w:p>
        </w:tc>
      </w:tr>
    </w:tbl>
    <w:p w:rsidR="00F1522B" w:rsidRDefault="00F1522B">
      <w:pPr>
        <w:rPr>
          <w:lang w:eastAsia="en-AU"/>
        </w:rPr>
      </w:pPr>
    </w:p>
    <w:p w:rsidR="00AE5122" w:rsidRDefault="00AE5122">
      <w:pPr>
        <w:rPr>
          <w:lang w:eastAsia="en-AU"/>
        </w:rPr>
      </w:pPr>
      <w:r>
        <w:rPr>
          <w:lang w:eastAsia="en-AU"/>
        </w:rPr>
        <w:fldChar w:fldCharType="begin"/>
      </w:r>
      <w:r>
        <w:rPr>
          <w:lang w:eastAsia="en-AU"/>
        </w:rPr>
        <w:instrText xml:space="preserve"> REF _Ref64292129 \h </w:instrText>
      </w:r>
      <w:r>
        <w:rPr>
          <w:lang w:eastAsia="en-AU"/>
        </w:rPr>
      </w:r>
      <w:r>
        <w:rPr>
          <w:lang w:eastAsia="en-AU"/>
        </w:rPr>
        <w:fldChar w:fldCharType="separate"/>
      </w:r>
      <w:r w:rsidR="00552D9D">
        <w:t xml:space="preserve">Figure </w:t>
      </w:r>
      <w:r w:rsidR="00552D9D">
        <w:rPr>
          <w:noProof/>
        </w:rPr>
        <w:t>4</w:t>
      </w:r>
      <w:r>
        <w:rPr>
          <w:lang w:eastAsia="en-AU"/>
        </w:rPr>
        <w:fldChar w:fldCharType="end"/>
      </w:r>
      <w:r>
        <w:rPr>
          <w:lang w:eastAsia="en-AU"/>
        </w:rPr>
        <w:t xml:space="preserve"> shows the change in cumulative incidence for youth bail before and after the amendment.  W</w:t>
      </w:r>
      <w:r w:rsidR="004A32A8">
        <w:rPr>
          <w:lang w:eastAsia="en-AU"/>
        </w:rPr>
        <w:t xml:space="preserve">hile the percentage resulting in a new substantive offence dropped from 50% to 41%, the before and after incidence values are similar for much of the time (green areas in the chart).  The main difference is the reduction in the incidence of breach of bail offences (pink areas).  </w:t>
      </w:r>
    </w:p>
    <w:p w:rsidR="00AE5122" w:rsidRDefault="00AE5122" w:rsidP="00AE5122">
      <w:pPr>
        <w:pStyle w:val="Caption"/>
        <w:keepNext/>
      </w:pPr>
      <w:bookmarkStart w:id="25" w:name="_Ref64292129"/>
      <w:r>
        <w:lastRenderedPageBreak/>
        <w:t xml:space="preserve">Figure </w:t>
      </w:r>
      <w:r w:rsidR="00111DFE">
        <w:fldChar w:fldCharType="begin"/>
      </w:r>
      <w:r w:rsidR="00111DFE">
        <w:instrText xml:space="preserve"> SEQ Figure \* ARABIC </w:instrText>
      </w:r>
      <w:r w:rsidR="00111DFE">
        <w:fldChar w:fldCharType="separate"/>
      </w:r>
      <w:r w:rsidR="00552D9D">
        <w:rPr>
          <w:noProof/>
        </w:rPr>
        <w:t>4</w:t>
      </w:r>
      <w:r w:rsidR="00111DFE">
        <w:rPr>
          <w:noProof/>
        </w:rPr>
        <w:fldChar w:fldCharType="end"/>
      </w:r>
      <w:bookmarkEnd w:id="25"/>
      <w:r>
        <w:t>.  Cumulative incidence of youth bail ending in a new event, before and after March 2020</w:t>
      </w:r>
    </w:p>
    <w:p w:rsidR="00F1522B" w:rsidRDefault="00F1522B">
      <w:pPr>
        <w:rPr>
          <w:lang w:eastAsia="en-AU"/>
        </w:rPr>
      </w:pPr>
      <w:r w:rsidRPr="007F45EF">
        <w:rPr>
          <w:noProof/>
          <w:lang w:eastAsia="en-AU"/>
        </w:rPr>
        <w:drawing>
          <wp:inline distT="0" distB="0" distL="0" distR="0" wp14:anchorId="6D27F0EE" wp14:editId="3052BB58">
            <wp:extent cx="6552000" cy="32760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52000" cy="3276000"/>
                    </a:xfrm>
                    <a:prstGeom prst="rect">
                      <a:avLst/>
                    </a:prstGeom>
                    <a:noFill/>
                    <a:ln>
                      <a:noFill/>
                    </a:ln>
                  </pic:spPr>
                </pic:pic>
              </a:graphicData>
            </a:graphic>
          </wp:inline>
        </w:drawing>
      </w:r>
    </w:p>
    <w:p w:rsidR="00F1522B" w:rsidRDefault="00F1522B">
      <w:pPr>
        <w:rPr>
          <w:lang w:eastAsia="en-AU"/>
        </w:rPr>
      </w:pPr>
    </w:p>
    <w:p w:rsidR="007A669E" w:rsidRDefault="007A669E" w:rsidP="00055EFD">
      <w:pPr>
        <w:pStyle w:val="Heading2"/>
        <w:rPr>
          <w:lang w:eastAsia="en-AU"/>
        </w:rPr>
      </w:pPr>
      <w:bookmarkStart w:id="26" w:name="_Toc72758053"/>
      <w:r>
        <w:rPr>
          <w:lang w:eastAsia="en-AU"/>
        </w:rPr>
        <w:t>Competing risks regression</w:t>
      </w:r>
      <w:bookmarkEnd w:id="26"/>
    </w:p>
    <w:p w:rsidR="003C1B5D" w:rsidRDefault="003C1B5D" w:rsidP="007A669E">
      <w:pPr>
        <w:rPr>
          <w:lang w:eastAsia="en-AU"/>
        </w:rPr>
      </w:pPr>
      <w:r>
        <w:rPr>
          <w:lang w:eastAsia="en-AU"/>
        </w:rPr>
        <w:t>Competing risks regression</w:t>
      </w:r>
      <w:r w:rsidR="002A2654">
        <w:rPr>
          <w:lang w:eastAsia="en-AU"/>
        </w:rPr>
        <w:t xml:space="preserve"> </w:t>
      </w:r>
      <w:r>
        <w:rPr>
          <w:lang w:eastAsia="en-AU"/>
        </w:rPr>
        <w:t>was used to test the impact of the covariates on the event of interest (</w:t>
      </w:r>
      <w:r w:rsidR="00552D9D">
        <w:rPr>
          <w:lang w:eastAsia="en-AU"/>
        </w:rPr>
        <w:t xml:space="preserve">new </w:t>
      </w:r>
      <w:r>
        <w:rPr>
          <w:lang w:eastAsia="en-AU"/>
        </w:rPr>
        <w:t xml:space="preserve">offending while on bail) in the presence of the two competing risks (breaching bail or </w:t>
      </w:r>
      <w:r w:rsidR="00552D9D">
        <w:rPr>
          <w:lang w:eastAsia="en-AU"/>
        </w:rPr>
        <w:t>going</w:t>
      </w:r>
      <w:r>
        <w:rPr>
          <w:lang w:eastAsia="en-AU"/>
        </w:rPr>
        <w:t xml:space="preserve"> </w:t>
      </w:r>
      <w:r w:rsidR="00552D9D">
        <w:rPr>
          <w:lang w:eastAsia="en-AU"/>
        </w:rPr>
        <w:t>in</w:t>
      </w:r>
      <w:r>
        <w:rPr>
          <w:lang w:eastAsia="en-AU"/>
        </w:rPr>
        <w:t>to custody).</w:t>
      </w:r>
    </w:p>
    <w:p w:rsidR="007A669E" w:rsidRDefault="00D442F2" w:rsidP="007A669E">
      <w:pPr>
        <w:rPr>
          <w:lang w:eastAsia="en-AU"/>
        </w:rPr>
      </w:pPr>
      <w:r>
        <w:rPr>
          <w:lang w:eastAsia="en-AU"/>
        </w:rPr>
        <w:t>Six</w:t>
      </w:r>
      <w:r w:rsidR="003C1B5D">
        <w:rPr>
          <w:lang w:eastAsia="en-AU"/>
        </w:rPr>
        <w:t xml:space="preserve"> covariates had significant impacts on the likelihood of offending while on bail</w:t>
      </w:r>
      <w:r w:rsidR="002A2654">
        <w:rPr>
          <w:lang w:eastAsia="en-AU"/>
        </w:rPr>
        <w:t xml:space="preserve"> </w:t>
      </w:r>
      <w:r w:rsidR="00D93A98">
        <w:rPr>
          <w:lang w:eastAsia="en-AU"/>
        </w:rPr>
        <w:t>after accounting for other variables and the competing risks</w:t>
      </w:r>
      <w:r w:rsidR="00174532">
        <w:rPr>
          <w:lang w:eastAsia="en-AU"/>
        </w:rPr>
        <w:t xml:space="preserve"> (</w:t>
      </w:r>
      <w:r w:rsidR="00174532">
        <w:rPr>
          <w:lang w:eastAsia="en-AU"/>
        </w:rPr>
        <w:fldChar w:fldCharType="begin"/>
      </w:r>
      <w:r w:rsidR="00174532">
        <w:rPr>
          <w:lang w:eastAsia="en-AU"/>
        </w:rPr>
        <w:instrText xml:space="preserve"> REF _Ref67494696 \h </w:instrText>
      </w:r>
      <w:r w:rsidR="00174532">
        <w:rPr>
          <w:lang w:eastAsia="en-AU"/>
        </w:rPr>
      </w:r>
      <w:r w:rsidR="00174532">
        <w:rPr>
          <w:lang w:eastAsia="en-AU"/>
        </w:rPr>
        <w:fldChar w:fldCharType="separate"/>
      </w:r>
      <w:r w:rsidR="00552D9D">
        <w:t xml:space="preserve">Table </w:t>
      </w:r>
      <w:r w:rsidR="00552D9D">
        <w:rPr>
          <w:noProof/>
        </w:rPr>
        <w:t>7</w:t>
      </w:r>
      <w:r w:rsidR="00174532">
        <w:rPr>
          <w:lang w:eastAsia="en-AU"/>
        </w:rPr>
        <w:fldChar w:fldCharType="end"/>
      </w:r>
      <w:r w:rsidR="00174532">
        <w:rPr>
          <w:lang w:eastAsia="en-AU"/>
        </w:rPr>
        <w:t>)</w:t>
      </w:r>
      <w:r w:rsidR="003C1B5D">
        <w:rPr>
          <w:lang w:eastAsia="en-AU"/>
        </w:rPr>
        <w:t>.  T</w:t>
      </w:r>
      <w:r w:rsidR="002A2654">
        <w:rPr>
          <w:lang w:eastAsia="en-AU"/>
        </w:rPr>
        <w:t xml:space="preserve">hese were male gender, age group, </w:t>
      </w:r>
      <w:r>
        <w:rPr>
          <w:lang w:eastAsia="en-AU"/>
        </w:rPr>
        <w:t xml:space="preserve">number of prior periods in custody, </w:t>
      </w:r>
      <w:r w:rsidR="002A2654">
        <w:rPr>
          <w:lang w:eastAsia="en-AU"/>
        </w:rPr>
        <w:t>number of prior apprehensions, being on bail for a violent offence, and the timing of bail (completed prior to March 2020, spanning March 2020, commencing since March 2020).</w:t>
      </w:r>
      <w:r w:rsidR="004D4388">
        <w:rPr>
          <w:lang w:eastAsia="en-AU"/>
        </w:rPr>
        <w:t xml:space="preserve">  </w:t>
      </w:r>
    </w:p>
    <w:p w:rsidR="00174532" w:rsidRDefault="00174532" w:rsidP="00174532">
      <w:pPr>
        <w:pStyle w:val="Caption"/>
        <w:keepNext/>
      </w:pPr>
      <w:bookmarkStart w:id="27" w:name="_Ref67494696"/>
      <w:r>
        <w:t xml:space="preserve">Table </w:t>
      </w:r>
      <w:r w:rsidR="00111DFE">
        <w:fldChar w:fldCharType="begin"/>
      </w:r>
      <w:r w:rsidR="00111DFE">
        <w:instrText xml:space="preserve"> SEQ Table \* ARABIC </w:instrText>
      </w:r>
      <w:r w:rsidR="00111DFE">
        <w:fldChar w:fldCharType="separate"/>
      </w:r>
      <w:r w:rsidR="00552D9D">
        <w:rPr>
          <w:noProof/>
        </w:rPr>
        <w:t>7</w:t>
      </w:r>
      <w:r w:rsidR="00111DFE">
        <w:rPr>
          <w:noProof/>
        </w:rPr>
        <w:fldChar w:fldCharType="end"/>
      </w:r>
      <w:bookmarkEnd w:id="27"/>
      <w:r>
        <w:t>.  Sub-hazard ratios for significant covariates</w:t>
      </w:r>
    </w:p>
    <w:tbl>
      <w:tblPr>
        <w:tblStyle w:val="NTGtable1"/>
        <w:tblW w:w="0" w:type="auto"/>
        <w:tblLook w:val="04A0" w:firstRow="1" w:lastRow="0" w:firstColumn="1" w:lastColumn="0" w:noHBand="0" w:noVBand="1"/>
      </w:tblPr>
      <w:tblGrid>
        <w:gridCol w:w="2547"/>
        <w:gridCol w:w="1701"/>
        <w:gridCol w:w="1276"/>
        <w:gridCol w:w="1134"/>
        <w:gridCol w:w="1134"/>
        <w:gridCol w:w="1275"/>
        <w:gridCol w:w="1241"/>
      </w:tblGrid>
      <w:tr w:rsidR="002A2654" w:rsidRPr="00174532" w:rsidTr="001745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rsidR="002A2654" w:rsidRPr="00174532" w:rsidRDefault="002A2654" w:rsidP="007A669E">
            <w:pPr>
              <w:rPr>
                <w:sz w:val="20"/>
                <w:lang w:eastAsia="en-AU"/>
              </w:rPr>
            </w:pPr>
          </w:p>
        </w:tc>
        <w:tc>
          <w:tcPr>
            <w:tcW w:w="1701" w:type="dxa"/>
          </w:tcPr>
          <w:p w:rsidR="002A2654" w:rsidRPr="00174532" w:rsidRDefault="002A2654" w:rsidP="00174532">
            <w:pPr>
              <w:jc w:val="center"/>
              <w:cnfStyle w:val="100000000000" w:firstRow="1" w:lastRow="0" w:firstColumn="0" w:lastColumn="0" w:oddVBand="0" w:evenVBand="0" w:oddHBand="0" w:evenHBand="0" w:firstRowFirstColumn="0" w:firstRowLastColumn="0" w:lastRowFirstColumn="0" w:lastRowLastColumn="0"/>
              <w:rPr>
                <w:sz w:val="20"/>
                <w:lang w:eastAsia="en-AU"/>
              </w:rPr>
            </w:pPr>
            <w:r w:rsidRPr="00174532">
              <w:rPr>
                <w:sz w:val="20"/>
                <w:lang w:eastAsia="en-AU"/>
              </w:rPr>
              <w:t>Sub-hazard ratio</w:t>
            </w:r>
          </w:p>
        </w:tc>
        <w:tc>
          <w:tcPr>
            <w:tcW w:w="1276" w:type="dxa"/>
          </w:tcPr>
          <w:p w:rsidR="002A2654" w:rsidRPr="00174532" w:rsidRDefault="002A2654" w:rsidP="00174532">
            <w:pPr>
              <w:jc w:val="center"/>
              <w:cnfStyle w:val="100000000000" w:firstRow="1" w:lastRow="0" w:firstColumn="0" w:lastColumn="0" w:oddVBand="0" w:evenVBand="0" w:oddHBand="0" w:evenHBand="0" w:firstRowFirstColumn="0" w:firstRowLastColumn="0" w:lastRowFirstColumn="0" w:lastRowLastColumn="0"/>
              <w:rPr>
                <w:sz w:val="20"/>
                <w:lang w:eastAsia="en-AU"/>
              </w:rPr>
            </w:pPr>
            <w:proofErr w:type="spellStart"/>
            <w:r w:rsidRPr="00174532">
              <w:rPr>
                <w:sz w:val="20"/>
                <w:lang w:eastAsia="en-AU"/>
              </w:rPr>
              <w:t>Std</w:t>
            </w:r>
            <w:proofErr w:type="spellEnd"/>
            <w:r w:rsidRPr="00174532">
              <w:rPr>
                <w:sz w:val="20"/>
                <w:lang w:eastAsia="en-AU"/>
              </w:rPr>
              <w:t xml:space="preserve"> error</w:t>
            </w:r>
          </w:p>
        </w:tc>
        <w:tc>
          <w:tcPr>
            <w:tcW w:w="1134" w:type="dxa"/>
          </w:tcPr>
          <w:p w:rsidR="002A2654" w:rsidRPr="00174532" w:rsidRDefault="00174532" w:rsidP="00174532">
            <w:pPr>
              <w:jc w:val="center"/>
              <w:cnfStyle w:val="100000000000" w:firstRow="1" w:lastRow="0" w:firstColumn="0" w:lastColumn="0" w:oddVBand="0" w:evenVBand="0" w:oddHBand="0" w:evenHBand="0" w:firstRowFirstColumn="0" w:firstRowLastColumn="0" w:lastRowFirstColumn="0" w:lastRowLastColumn="0"/>
              <w:rPr>
                <w:sz w:val="20"/>
                <w:lang w:eastAsia="en-AU"/>
              </w:rPr>
            </w:pPr>
            <w:r w:rsidRPr="00174532">
              <w:rPr>
                <w:sz w:val="20"/>
                <w:lang w:eastAsia="en-AU"/>
              </w:rPr>
              <w:t>z</w:t>
            </w:r>
          </w:p>
        </w:tc>
        <w:tc>
          <w:tcPr>
            <w:tcW w:w="1134" w:type="dxa"/>
          </w:tcPr>
          <w:p w:rsidR="002A2654" w:rsidRPr="00174532" w:rsidRDefault="00174532" w:rsidP="00174532">
            <w:pPr>
              <w:jc w:val="center"/>
              <w:cnfStyle w:val="100000000000" w:firstRow="1" w:lastRow="0" w:firstColumn="0" w:lastColumn="0" w:oddVBand="0" w:evenVBand="0" w:oddHBand="0" w:evenHBand="0" w:firstRowFirstColumn="0" w:firstRowLastColumn="0" w:lastRowFirstColumn="0" w:lastRowLastColumn="0"/>
              <w:rPr>
                <w:sz w:val="20"/>
                <w:lang w:eastAsia="en-AU"/>
              </w:rPr>
            </w:pPr>
            <w:r w:rsidRPr="00174532">
              <w:rPr>
                <w:sz w:val="20"/>
                <w:lang w:eastAsia="en-AU"/>
              </w:rPr>
              <w:t>P&gt;|</w:t>
            </w:r>
            <w:r w:rsidR="002A2654" w:rsidRPr="00174532">
              <w:rPr>
                <w:sz w:val="20"/>
                <w:lang w:eastAsia="en-AU"/>
              </w:rPr>
              <w:t>z</w:t>
            </w:r>
            <w:r w:rsidRPr="00174532">
              <w:rPr>
                <w:sz w:val="20"/>
                <w:lang w:eastAsia="en-AU"/>
              </w:rPr>
              <w:t>|</w:t>
            </w:r>
          </w:p>
        </w:tc>
        <w:tc>
          <w:tcPr>
            <w:tcW w:w="1275" w:type="dxa"/>
          </w:tcPr>
          <w:p w:rsidR="002A2654" w:rsidRPr="00174532" w:rsidRDefault="002A2654" w:rsidP="00174532">
            <w:pPr>
              <w:jc w:val="center"/>
              <w:cnfStyle w:val="100000000000" w:firstRow="1" w:lastRow="0" w:firstColumn="0" w:lastColumn="0" w:oddVBand="0" w:evenVBand="0" w:oddHBand="0" w:evenHBand="0" w:firstRowFirstColumn="0" w:firstRowLastColumn="0" w:lastRowFirstColumn="0" w:lastRowLastColumn="0"/>
              <w:rPr>
                <w:sz w:val="20"/>
                <w:lang w:eastAsia="en-AU"/>
              </w:rPr>
            </w:pPr>
            <w:r w:rsidRPr="00174532">
              <w:rPr>
                <w:sz w:val="20"/>
                <w:lang w:eastAsia="en-AU"/>
              </w:rPr>
              <w:t>Lower 95%</w:t>
            </w:r>
          </w:p>
        </w:tc>
        <w:tc>
          <w:tcPr>
            <w:tcW w:w="1241" w:type="dxa"/>
          </w:tcPr>
          <w:p w:rsidR="002A2654" w:rsidRPr="00174532" w:rsidRDefault="002A2654" w:rsidP="00174532">
            <w:pPr>
              <w:jc w:val="center"/>
              <w:cnfStyle w:val="100000000000" w:firstRow="1" w:lastRow="0" w:firstColumn="0" w:lastColumn="0" w:oddVBand="0" w:evenVBand="0" w:oddHBand="0" w:evenHBand="0" w:firstRowFirstColumn="0" w:firstRowLastColumn="0" w:lastRowFirstColumn="0" w:lastRowLastColumn="0"/>
              <w:rPr>
                <w:sz w:val="20"/>
                <w:lang w:eastAsia="en-AU"/>
              </w:rPr>
            </w:pPr>
            <w:r w:rsidRPr="00174532">
              <w:rPr>
                <w:sz w:val="20"/>
                <w:lang w:eastAsia="en-AU"/>
              </w:rPr>
              <w:t>Upper 95%</w:t>
            </w:r>
          </w:p>
        </w:tc>
      </w:tr>
      <w:tr w:rsidR="00174532" w:rsidRPr="00174532" w:rsidTr="001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A2654" w:rsidRPr="00174532" w:rsidRDefault="002A2654" w:rsidP="007A669E">
            <w:pPr>
              <w:rPr>
                <w:sz w:val="20"/>
                <w:lang w:eastAsia="en-AU"/>
              </w:rPr>
            </w:pPr>
            <w:r w:rsidRPr="00174532">
              <w:rPr>
                <w:sz w:val="20"/>
                <w:lang w:eastAsia="en-AU"/>
              </w:rPr>
              <w:t>Male</w:t>
            </w:r>
          </w:p>
        </w:tc>
        <w:tc>
          <w:tcPr>
            <w:tcW w:w="1701" w:type="dxa"/>
          </w:tcPr>
          <w:p w:rsidR="002A2654" w:rsidRPr="00174532" w:rsidRDefault="002A2654"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1.</w:t>
            </w:r>
            <w:r w:rsidR="00D442F2">
              <w:rPr>
                <w:sz w:val="20"/>
                <w:lang w:eastAsia="en-AU"/>
              </w:rPr>
              <w:t>569</w:t>
            </w:r>
          </w:p>
        </w:tc>
        <w:tc>
          <w:tcPr>
            <w:tcW w:w="1276" w:type="dxa"/>
          </w:tcPr>
          <w:p w:rsidR="002A2654" w:rsidRPr="00174532" w:rsidRDefault="002A2654"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0.23</w:t>
            </w:r>
            <w:r w:rsidR="00D442F2">
              <w:rPr>
                <w:sz w:val="20"/>
                <w:lang w:eastAsia="en-AU"/>
              </w:rPr>
              <w:t>4</w:t>
            </w:r>
          </w:p>
        </w:tc>
        <w:tc>
          <w:tcPr>
            <w:tcW w:w="1134"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3.</w:t>
            </w:r>
            <w:r w:rsidR="00D442F2">
              <w:rPr>
                <w:sz w:val="20"/>
                <w:lang w:eastAsia="en-AU"/>
              </w:rPr>
              <w:t>02</w:t>
            </w:r>
          </w:p>
        </w:tc>
        <w:tc>
          <w:tcPr>
            <w:tcW w:w="1134"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0.00</w:t>
            </w:r>
            <w:r w:rsidR="00D442F2">
              <w:rPr>
                <w:sz w:val="20"/>
                <w:lang w:eastAsia="en-AU"/>
              </w:rPr>
              <w:t>3</w:t>
            </w:r>
          </w:p>
        </w:tc>
        <w:tc>
          <w:tcPr>
            <w:tcW w:w="1275"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1.</w:t>
            </w:r>
            <w:r w:rsidR="00D442F2">
              <w:rPr>
                <w:sz w:val="20"/>
                <w:lang w:eastAsia="en-AU"/>
              </w:rPr>
              <w:t>171</w:t>
            </w:r>
            <w:r w:rsidRPr="00174532">
              <w:rPr>
                <w:sz w:val="20"/>
                <w:lang w:eastAsia="en-AU"/>
              </w:rPr>
              <w:t>0</w:t>
            </w:r>
          </w:p>
        </w:tc>
        <w:tc>
          <w:tcPr>
            <w:tcW w:w="1241"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2.1</w:t>
            </w:r>
            <w:r w:rsidR="00D442F2">
              <w:rPr>
                <w:sz w:val="20"/>
                <w:lang w:eastAsia="en-AU"/>
              </w:rPr>
              <w:t>02</w:t>
            </w:r>
          </w:p>
        </w:tc>
      </w:tr>
      <w:tr w:rsidR="002A2654" w:rsidRPr="00174532" w:rsidTr="001745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A2654" w:rsidRPr="00174532" w:rsidRDefault="002A2654" w:rsidP="007A669E">
            <w:pPr>
              <w:rPr>
                <w:sz w:val="20"/>
                <w:lang w:eastAsia="en-AU"/>
              </w:rPr>
            </w:pPr>
            <w:r w:rsidRPr="00174532">
              <w:rPr>
                <w:sz w:val="20"/>
                <w:lang w:eastAsia="en-AU"/>
              </w:rPr>
              <w:t>Age group</w:t>
            </w:r>
          </w:p>
        </w:tc>
        <w:tc>
          <w:tcPr>
            <w:tcW w:w="1701" w:type="dxa"/>
          </w:tcPr>
          <w:p w:rsidR="002A2654" w:rsidRPr="00174532" w:rsidRDefault="002A2654"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0.7</w:t>
            </w:r>
            <w:r w:rsidR="00D442F2">
              <w:rPr>
                <w:sz w:val="20"/>
                <w:lang w:eastAsia="en-AU"/>
              </w:rPr>
              <w:t>74</w:t>
            </w:r>
          </w:p>
        </w:tc>
        <w:tc>
          <w:tcPr>
            <w:tcW w:w="1276" w:type="dxa"/>
          </w:tcPr>
          <w:p w:rsidR="002A2654" w:rsidRPr="00174532" w:rsidRDefault="002A2654"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0.02</w:t>
            </w:r>
            <w:r w:rsidR="00D442F2">
              <w:rPr>
                <w:sz w:val="20"/>
                <w:lang w:eastAsia="en-AU"/>
              </w:rPr>
              <w:t>9</w:t>
            </w:r>
          </w:p>
        </w:tc>
        <w:tc>
          <w:tcPr>
            <w:tcW w:w="1134"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-6.</w:t>
            </w:r>
            <w:r w:rsidR="00D442F2">
              <w:rPr>
                <w:sz w:val="20"/>
                <w:lang w:eastAsia="en-AU"/>
              </w:rPr>
              <w:t>82</w:t>
            </w:r>
          </w:p>
        </w:tc>
        <w:tc>
          <w:tcPr>
            <w:tcW w:w="1134" w:type="dxa"/>
          </w:tcPr>
          <w:p w:rsidR="002A2654" w:rsidRPr="00174532" w:rsidRDefault="00174532" w:rsidP="0017453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0.000</w:t>
            </w:r>
          </w:p>
        </w:tc>
        <w:tc>
          <w:tcPr>
            <w:tcW w:w="1275"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0.7</w:t>
            </w:r>
            <w:r w:rsidR="00D442F2">
              <w:rPr>
                <w:sz w:val="20"/>
                <w:lang w:eastAsia="en-AU"/>
              </w:rPr>
              <w:t>19</w:t>
            </w:r>
            <w:r w:rsidRPr="00174532">
              <w:rPr>
                <w:sz w:val="20"/>
                <w:lang w:eastAsia="en-AU"/>
              </w:rPr>
              <w:t>0</w:t>
            </w:r>
          </w:p>
        </w:tc>
        <w:tc>
          <w:tcPr>
            <w:tcW w:w="1241"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0.8</w:t>
            </w:r>
            <w:r w:rsidR="00D442F2">
              <w:rPr>
                <w:sz w:val="20"/>
                <w:lang w:eastAsia="en-AU"/>
              </w:rPr>
              <w:t>33</w:t>
            </w:r>
          </w:p>
        </w:tc>
      </w:tr>
      <w:tr w:rsidR="00D442F2" w:rsidRPr="00174532" w:rsidTr="001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442F2" w:rsidRPr="00174532" w:rsidRDefault="00D442F2" w:rsidP="007A669E">
            <w:pPr>
              <w:rPr>
                <w:sz w:val="20"/>
                <w:lang w:eastAsia="en-AU"/>
              </w:rPr>
            </w:pPr>
            <w:r>
              <w:rPr>
                <w:sz w:val="20"/>
                <w:lang w:eastAsia="en-AU"/>
              </w:rPr>
              <w:t>Prior periods in custody</w:t>
            </w:r>
          </w:p>
        </w:tc>
        <w:tc>
          <w:tcPr>
            <w:tcW w:w="1701" w:type="dxa"/>
          </w:tcPr>
          <w:p w:rsidR="00D442F2" w:rsidRPr="00174532" w:rsidRDefault="00D442F2" w:rsidP="0017453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1.036</w:t>
            </w:r>
          </w:p>
        </w:tc>
        <w:tc>
          <w:tcPr>
            <w:tcW w:w="1276" w:type="dxa"/>
          </w:tcPr>
          <w:p w:rsidR="00D442F2" w:rsidRPr="00174532" w:rsidRDefault="00D442F2" w:rsidP="0017453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0.016</w:t>
            </w:r>
          </w:p>
        </w:tc>
        <w:tc>
          <w:tcPr>
            <w:tcW w:w="1134" w:type="dxa"/>
          </w:tcPr>
          <w:p w:rsidR="00D442F2" w:rsidRPr="00174532" w:rsidRDefault="00D442F2" w:rsidP="0017453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2.23</w:t>
            </w:r>
          </w:p>
        </w:tc>
        <w:tc>
          <w:tcPr>
            <w:tcW w:w="1134" w:type="dxa"/>
          </w:tcPr>
          <w:p w:rsidR="00D442F2" w:rsidRPr="00174532" w:rsidRDefault="00D442F2" w:rsidP="0017453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0.026</w:t>
            </w:r>
          </w:p>
        </w:tc>
        <w:tc>
          <w:tcPr>
            <w:tcW w:w="1275" w:type="dxa"/>
          </w:tcPr>
          <w:p w:rsidR="00D442F2" w:rsidRPr="00174532" w:rsidRDefault="00D442F2" w:rsidP="0017453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1.004</w:t>
            </w:r>
          </w:p>
        </w:tc>
        <w:tc>
          <w:tcPr>
            <w:tcW w:w="1241" w:type="dxa"/>
          </w:tcPr>
          <w:p w:rsidR="00D442F2" w:rsidRPr="00174532" w:rsidRDefault="00D442F2" w:rsidP="0017453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1.069</w:t>
            </w:r>
          </w:p>
        </w:tc>
      </w:tr>
      <w:tr w:rsidR="00174532" w:rsidRPr="00174532" w:rsidTr="001745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A2654" w:rsidRPr="00174532" w:rsidRDefault="002A2654" w:rsidP="007A669E">
            <w:pPr>
              <w:rPr>
                <w:sz w:val="20"/>
                <w:lang w:eastAsia="en-AU"/>
              </w:rPr>
            </w:pPr>
            <w:r w:rsidRPr="00174532">
              <w:rPr>
                <w:sz w:val="20"/>
                <w:lang w:eastAsia="en-AU"/>
              </w:rPr>
              <w:t>Prior apprehension group</w:t>
            </w:r>
          </w:p>
        </w:tc>
        <w:tc>
          <w:tcPr>
            <w:tcW w:w="1701" w:type="dxa"/>
          </w:tcPr>
          <w:p w:rsidR="002A2654" w:rsidRPr="00174532" w:rsidRDefault="00D442F2" w:rsidP="0017453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1.189</w:t>
            </w:r>
          </w:p>
        </w:tc>
        <w:tc>
          <w:tcPr>
            <w:tcW w:w="1276" w:type="dxa"/>
          </w:tcPr>
          <w:p w:rsidR="002A2654" w:rsidRPr="00174532" w:rsidRDefault="002A2654"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0.0</w:t>
            </w:r>
            <w:r w:rsidR="00D442F2">
              <w:rPr>
                <w:sz w:val="20"/>
                <w:lang w:eastAsia="en-AU"/>
              </w:rPr>
              <w:t>54</w:t>
            </w:r>
          </w:p>
        </w:tc>
        <w:tc>
          <w:tcPr>
            <w:tcW w:w="1134" w:type="dxa"/>
          </w:tcPr>
          <w:p w:rsidR="002A2654" w:rsidRPr="00174532" w:rsidRDefault="00D442F2" w:rsidP="0017453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3.81</w:t>
            </w:r>
          </w:p>
        </w:tc>
        <w:tc>
          <w:tcPr>
            <w:tcW w:w="1134" w:type="dxa"/>
          </w:tcPr>
          <w:p w:rsidR="002A2654" w:rsidRPr="00174532" w:rsidRDefault="00174532" w:rsidP="0017453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0.000</w:t>
            </w:r>
          </w:p>
        </w:tc>
        <w:tc>
          <w:tcPr>
            <w:tcW w:w="1275"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1.</w:t>
            </w:r>
            <w:r w:rsidR="00D442F2">
              <w:rPr>
                <w:sz w:val="20"/>
                <w:lang w:eastAsia="en-AU"/>
              </w:rPr>
              <w:t>088</w:t>
            </w:r>
          </w:p>
        </w:tc>
        <w:tc>
          <w:tcPr>
            <w:tcW w:w="1241" w:type="dxa"/>
          </w:tcPr>
          <w:p w:rsidR="002A2654" w:rsidRPr="00174532" w:rsidRDefault="00D442F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1.299</w:t>
            </w:r>
          </w:p>
        </w:tc>
      </w:tr>
      <w:tr w:rsidR="002A2654" w:rsidRPr="00174532" w:rsidTr="001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A2654" w:rsidRPr="00174532" w:rsidRDefault="002A2654" w:rsidP="007A669E">
            <w:pPr>
              <w:rPr>
                <w:sz w:val="20"/>
                <w:lang w:eastAsia="en-AU"/>
              </w:rPr>
            </w:pPr>
            <w:r w:rsidRPr="00174532">
              <w:rPr>
                <w:sz w:val="20"/>
                <w:lang w:eastAsia="en-AU"/>
              </w:rPr>
              <w:t>Violent offence</w:t>
            </w:r>
          </w:p>
        </w:tc>
        <w:tc>
          <w:tcPr>
            <w:tcW w:w="1701"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1.2</w:t>
            </w:r>
            <w:r w:rsidR="00D442F2">
              <w:rPr>
                <w:sz w:val="20"/>
                <w:lang w:eastAsia="en-AU"/>
              </w:rPr>
              <w:t>46</w:t>
            </w:r>
          </w:p>
        </w:tc>
        <w:tc>
          <w:tcPr>
            <w:tcW w:w="1276" w:type="dxa"/>
          </w:tcPr>
          <w:p w:rsidR="002A2654" w:rsidRPr="00174532" w:rsidRDefault="002A2654"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0.12</w:t>
            </w:r>
            <w:r w:rsidR="00D442F2">
              <w:rPr>
                <w:sz w:val="20"/>
                <w:lang w:eastAsia="en-AU"/>
              </w:rPr>
              <w:t>5</w:t>
            </w:r>
          </w:p>
        </w:tc>
        <w:tc>
          <w:tcPr>
            <w:tcW w:w="1134"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2.</w:t>
            </w:r>
            <w:r w:rsidR="00D442F2">
              <w:rPr>
                <w:sz w:val="20"/>
                <w:lang w:eastAsia="en-AU"/>
              </w:rPr>
              <w:t>19</w:t>
            </w:r>
          </w:p>
        </w:tc>
        <w:tc>
          <w:tcPr>
            <w:tcW w:w="1134"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0.0</w:t>
            </w:r>
            <w:r w:rsidR="00D442F2">
              <w:rPr>
                <w:sz w:val="20"/>
                <w:lang w:eastAsia="en-AU"/>
              </w:rPr>
              <w:t>29</w:t>
            </w:r>
          </w:p>
        </w:tc>
        <w:tc>
          <w:tcPr>
            <w:tcW w:w="1275"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1.0</w:t>
            </w:r>
            <w:r w:rsidR="00D442F2">
              <w:rPr>
                <w:sz w:val="20"/>
                <w:lang w:eastAsia="en-AU"/>
              </w:rPr>
              <w:t>2</w:t>
            </w:r>
            <w:r w:rsidRPr="00174532">
              <w:rPr>
                <w:sz w:val="20"/>
                <w:lang w:eastAsia="en-AU"/>
              </w:rPr>
              <w:t>3</w:t>
            </w:r>
          </w:p>
        </w:tc>
        <w:tc>
          <w:tcPr>
            <w:tcW w:w="1241" w:type="dxa"/>
          </w:tcPr>
          <w:p w:rsidR="002A2654" w:rsidRPr="00174532" w:rsidRDefault="00174532" w:rsidP="00D442F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174532">
              <w:rPr>
                <w:sz w:val="20"/>
                <w:lang w:eastAsia="en-AU"/>
              </w:rPr>
              <w:t>1.5</w:t>
            </w:r>
            <w:r w:rsidR="00D442F2">
              <w:rPr>
                <w:sz w:val="20"/>
                <w:lang w:eastAsia="en-AU"/>
              </w:rPr>
              <w:t>16</w:t>
            </w:r>
          </w:p>
        </w:tc>
      </w:tr>
      <w:tr w:rsidR="00174532" w:rsidRPr="00174532" w:rsidTr="001745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A2654" w:rsidRPr="00174532" w:rsidRDefault="002A2654" w:rsidP="007A669E">
            <w:pPr>
              <w:rPr>
                <w:sz w:val="20"/>
                <w:lang w:eastAsia="en-AU"/>
              </w:rPr>
            </w:pPr>
            <w:r w:rsidRPr="00174532">
              <w:rPr>
                <w:sz w:val="20"/>
                <w:lang w:eastAsia="en-AU"/>
              </w:rPr>
              <w:t>Timing</w:t>
            </w:r>
          </w:p>
        </w:tc>
        <w:tc>
          <w:tcPr>
            <w:tcW w:w="1701" w:type="dxa"/>
          </w:tcPr>
          <w:p w:rsidR="002A2654" w:rsidRPr="00174532" w:rsidRDefault="002A2654"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0.86</w:t>
            </w:r>
            <w:r w:rsidR="00D442F2">
              <w:rPr>
                <w:sz w:val="20"/>
                <w:lang w:eastAsia="en-AU"/>
              </w:rPr>
              <w:t>2</w:t>
            </w:r>
          </w:p>
        </w:tc>
        <w:tc>
          <w:tcPr>
            <w:tcW w:w="1276" w:type="dxa"/>
          </w:tcPr>
          <w:p w:rsidR="002A2654" w:rsidRPr="00174532" w:rsidRDefault="002A2654" w:rsidP="0017453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0.056</w:t>
            </w:r>
          </w:p>
        </w:tc>
        <w:tc>
          <w:tcPr>
            <w:tcW w:w="1134"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-2.2</w:t>
            </w:r>
            <w:r w:rsidR="00D442F2">
              <w:rPr>
                <w:sz w:val="20"/>
                <w:lang w:eastAsia="en-AU"/>
              </w:rPr>
              <w:t>9</w:t>
            </w:r>
          </w:p>
        </w:tc>
        <w:tc>
          <w:tcPr>
            <w:tcW w:w="1134"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0.02</w:t>
            </w:r>
            <w:r w:rsidR="00D442F2">
              <w:rPr>
                <w:sz w:val="20"/>
                <w:lang w:eastAsia="en-AU"/>
              </w:rPr>
              <w:t>2</w:t>
            </w:r>
          </w:p>
        </w:tc>
        <w:tc>
          <w:tcPr>
            <w:tcW w:w="1275"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0.7</w:t>
            </w:r>
            <w:r w:rsidR="00D442F2">
              <w:rPr>
                <w:sz w:val="20"/>
                <w:lang w:eastAsia="en-AU"/>
              </w:rPr>
              <w:t>59</w:t>
            </w:r>
          </w:p>
        </w:tc>
        <w:tc>
          <w:tcPr>
            <w:tcW w:w="1241" w:type="dxa"/>
          </w:tcPr>
          <w:p w:rsidR="002A2654" w:rsidRPr="00174532" w:rsidRDefault="00174532" w:rsidP="00D442F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174532">
              <w:rPr>
                <w:sz w:val="20"/>
                <w:lang w:eastAsia="en-AU"/>
              </w:rPr>
              <w:t>0.9</w:t>
            </w:r>
            <w:r w:rsidR="00D442F2">
              <w:rPr>
                <w:sz w:val="20"/>
                <w:lang w:eastAsia="en-AU"/>
              </w:rPr>
              <w:t>79</w:t>
            </w:r>
          </w:p>
        </w:tc>
      </w:tr>
    </w:tbl>
    <w:p w:rsidR="002A2654" w:rsidRDefault="002A2654" w:rsidP="007A669E">
      <w:pPr>
        <w:rPr>
          <w:lang w:eastAsia="en-AU"/>
        </w:rPr>
      </w:pPr>
    </w:p>
    <w:p w:rsidR="00174532" w:rsidRDefault="00174532" w:rsidP="007A669E">
      <w:pPr>
        <w:rPr>
          <w:lang w:eastAsia="en-AU"/>
        </w:rPr>
      </w:pPr>
      <w:r>
        <w:rPr>
          <w:lang w:eastAsia="en-AU"/>
        </w:rPr>
        <w:t xml:space="preserve">The interpretation of the sub-hazard ratios is as follows.  For males, the likelihood of offending while on bail was 1.6 times that for females, </w:t>
      </w:r>
      <w:r w:rsidR="00D93A98">
        <w:rPr>
          <w:lang w:eastAsia="en-AU"/>
        </w:rPr>
        <w:t>after taking other factors into account</w:t>
      </w:r>
      <w:bookmarkStart w:id="28" w:name="_GoBack"/>
      <w:bookmarkEnd w:id="28"/>
      <w:r w:rsidR="00135B3D">
        <w:rPr>
          <w:lang w:eastAsia="en-AU"/>
        </w:rPr>
        <w:t xml:space="preserve"> (</w:t>
      </w:r>
      <w:r w:rsidR="00135B3D">
        <w:rPr>
          <w:lang w:eastAsia="en-AU"/>
        </w:rPr>
        <w:fldChar w:fldCharType="begin"/>
      </w:r>
      <w:r w:rsidR="00135B3D">
        <w:rPr>
          <w:lang w:eastAsia="en-AU"/>
        </w:rPr>
        <w:instrText xml:space="preserve"> REF _Ref67496550 \h </w:instrText>
      </w:r>
      <w:r w:rsidR="00135B3D">
        <w:rPr>
          <w:lang w:eastAsia="en-AU"/>
        </w:rPr>
      </w:r>
      <w:r w:rsidR="00135B3D">
        <w:rPr>
          <w:lang w:eastAsia="en-AU"/>
        </w:rPr>
        <w:fldChar w:fldCharType="separate"/>
      </w:r>
      <w:r w:rsidR="00552D9D">
        <w:t xml:space="preserve">Figure </w:t>
      </w:r>
      <w:r w:rsidR="00552D9D">
        <w:rPr>
          <w:noProof/>
        </w:rPr>
        <w:t>5</w:t>
      </w:r>
      <w:r w:rsidR="00135B3D">
        <w:rPr>
          <w:lang w:eastAsia="en-AU"/>
        </w:rPr>
        <w:fldChar w:fldCharType="end"/>
      </w:r>
      <w:r w:rsidR="00135B3D">
        <w:rPr>
          <w:lang w:eastAsia="en-AU"/>
        </w:rPr>
        <w:t>)</w:t>
      </w:r>
      <w:r>
        <w:rPr>
          <w:lang w:eastAsia="en-AU"/>
        </w:rPr>
        <w:t xml:space="preserve">.  As age group increased, the likelihood of offending was approximately </w:t>
      </w:r>
      <w:r w:rsidR="005D4063">
        <w:rPr>
          <w:lang w:eastAsia="en-AU"/>
        </w:rPr>
        <w:t>77</w:t>
      </w:r>
      <w:r>
        <w:rPr>
          <w:lang w:eastAsia="en-AU"/>
        </w:rPr>
        <w:t>% of the next lower age group</w:t>
      </w:r>
      <w:r w:rsidR="00135B3D">
        <w:rPr>
          <w:lang w:eastAsia="en-AU"/>
        </w:rPr>
        <w:t xml:space="preserve">—that is, the </w:t>
      </w:r>
      <w:r>
        <w:rPr>
          <w:lang w:eastAsia="en-AU"/>
        </w:rPr>
        <w:t>likelihood decreased by 2</w:t>
      </w:r>
      <w:r w:rsidR="005D4063">
        <w:rPr>
          <w:lang w:eastAsia="en-AU"/>
        </w:rPr>
        <w:t>3</w:t>
      </w:r>
      <w:r>
        <w:rPr>
          <w:lang w:eastAsia="en-AU"/>
        </w:rPr>
        <w:t>% as age group increased</w:t>
      </w:r>
      <w:r w:rsidR="00135B3D">
        <w:rPr>
          <w:lang w:eastAsia="en-AU"/>
        </w:rPr>
        <w:t xml:space="preserve"> (</w:t>
      </w:r>
      <w:r w:rsidR="00135B3D">
        <w:rPr>
          <w:lang w:eastAsia="en-AU"/>
        </w:rPr>
        <w:fldChar w:fldCharType="begin"/>
      </w:r>
      <w:r w:rsidR="00135B3D">
        <w:rPr>
          <w:lang w:eastAsia="en-AU"/>
        </w:rPr>
        <w:instrText xml:space="preserve"> REF _Ref67496579 \h </w:instrText>
      </w:r>
      <w:r w:rsidR="00135B3D">
        <w:rPr>
          <w:lang w:eastAsia="en-AU"/>
        </w:rPr>
      </w:r>
      <w:r w:rsidR="00135B3D">
        <w:rPr>
          <w:lang w:eastAsia="en-AU"/>
        </w:rPr>
        <w:fldChar w:fldCharType="separate"/>
      </w:r>
      <w:r w:rsidR="00552D9D">
        <w:t xml:space="preserve">Figure </w:t>
      </w:r>
      <w:r w:rsidR="00552D9D">
        <w:rPr>
          <w:noProof/>
        </w:rPr>
        <w:t>6</w:t>
      </w:r>
      <w:r w:rsidR="00135B3D">
        <w:rPr>
          <w:lang w:eastAsia="en-AU"/>
        </w:rPr>
        <w:fldChar w:fldCharType="end"/>
      </w:r>
      <w:r>
        <w:rPr>
          <w:lang w:eastAsia="en-AU"/>
        </w:rPr>
        <w:t xml:space="preserve">).  </w:t>
      </w:r>
      <w:r w:rsidR="00301805">
        <w:rPr>
          <w:lang w:eastAsia="en-AU"/>
        </w:rPr>
        <w:t xml:space="preserve">For each additional </w:t>
      </w:r>
      <w:r w:rsidR="00D442F2">
        <w:rPr>
          <w:lang w:eastAsia="en-AU"/>
        </w:rPr>
        <w:t>prior period in custody, the likelihood of offending increased by approximately 4%</w:t>
      </w:r>
      <w:r w:rsidR="00301805">
        <w:rPr>
          <w:lang w:eastAsia="en-AU"/>
        </w:rPr>
        <w:t xml:space="preserve"> (</w:t>
      </w:r>
      <w:r w:rsidR="00301805">
        <w:rPr>
          <w:lang w:eastAsia="en-AU"/>
        </w:rPr>
        <w:fldChar w:fldCharType="begin"/>
      </w:r>
      <w:r w:rsidR="00301805">
        <w:rPr>
          <w:lang w:eastAsia="en-AU"/>
        </w:rPr>
        <w:instrText xml:space="preserve"> REF _Ref67576365 \h </w:instrText>
      </w:r>
      <w:r w:rsidR="00301805">
        <w:rPr>
          <w:lang w:eastAsia="en-AU"/>
        </w:rPr>
      </w:r>
      <w:r w:rsidR="00301805">
        <w:rPr>
          <w:lang w:eastAsia="en-AU"/>
        </w:rPr>
        <w:fldChar w:fldCharType="separate"/>
      </w:r>
      <w:r w:rsidR="00552D9D">
        <w:t xml:space="preserve">Figure </w:t>
      </w:r>
      <w:r w:rsidR="00552D9D">
        <w:rPr>
          <w:noProof/>
        </w:rPr>
        <w:t>7</w:t>
      </w:r>
      <w:r w:rsidR="00301805">
        <w:rPr>
          <w:lang w:eastAsia="en-AU"/>
        </w:rPr>
        <w:fldChar w:fldCharType="end"/>
      </w:r>
      <w:r w:rsidR="00301805">
        <w:rPr>
          <w:lang w:eastAsia="en-AU"/>
        </w:rPr>
        <w:t>)</w:t>
      </w:r>
      <w:r w:rsidR="00D442F2">
        <w:rPr>
          <w:lang w:eastAsia="en-AU"/>
        </w:rPr>
        <w:t xml:space="preserve">.  </w:t>
      </w:r>
      <w:r>
        <w:rPr>
          <w:lang w:eastAsia="en-AU"/>
        </w:rPr>
        <w:t xml:space="preserve">As prior apprehension group increased, the likelihood of </w:t>
      </w:r>
      <w:r w:rsidR="00F50E69">
        <w:rPr>
          <w:lang w:eastAsia="en-AU"/>
        </w:rPr>
        <w:t xml:space="preserve">offending increased by approximately </w:t>
      </w:r>
      <w:r w:rsidR="005D4063">
        <w:rPr>
          <w:lang w:eastAsia="en-AU"/>
        </w:rPr>
        <w:t>19%</w:t>
      </w:r>
      <w:r w:rsidR="00301805">
        <w:rPr>
          <w:lang w:eastAsia="en-AU"/>
        </w:rPr>
        <w:t xml:space="preserve"> (</w:t>
      </w:r>
      <w:r w:rsidR="00301805">
        <w:rPr>
          <w:lang w:eastAsia="en-AU"/>
        </w:rPr>
        <w:fldChar w:fldCharType="begin"/>
      </w:r>
      <w:r w:rsidR="00301805">
        <w:rPr>
          <w:lang w:eastAsia="en-AU"/>
        </w:rPr>
        <w:instrText xml:space="preserve"> REF _Ref67576379 \h </w:instrText>
      </w:r>
      <w:r w:rsidR="00301805">
        <w:rPr>
          <w:lang w:eastAsia="en-AU"/>
        </w:rPr>
      </w:r>
      <w:r w:rsidR="00301805">
        <w:rPr>
          <w:lang w:eastAsia="en-AU"/>
        </w:rPr>
        <w:fldChar w:fldCharType="separate"/>
      </w:r>
      <w:r w:rsidR="00552D9D">
        <w:t xml:space="preserve">Figure </w:t>
      </w:r>
      <w:r w:rsidR="00552D9D">
        <w:rPr>
          <w:noProof/>
        </w:rPr>
        <w:t>8</w:t>
      </w:r>
      <w:r w:rsidR="00301805">
        <w:rPr>
          <w:lang w:eastAsia="en-AU"/>
        </w:rPr>
        <w:fldChar w:fldCharType="end"/>
      </w:r>
      <w:r w:rsidR="00301805">
        <w:rPr>
          <w:lang w:eastAsia="en-AU"/>
        </w:rPr>
        <w:t>)</w:t>
      </w:r>
      <w:r w:rsidR="00F50E69">
        <w:rPr>
          <w:lang w:eastAsia="en-AU"/>
        </w:rPr>
        <w:t>.  Those who were on bail for a violent offence were approximately 1.3 times as likely to offend while on bail as those on bail for a different type of offence</w:t>
      </w:r>
      <w:r w:rsidR="00135B3D">
        <w:rPr>
          <w:lang w:eastAsia="en-AU"/>
        </w:rPr>
        <w:t xml:space="preserve"> (</w:t>
      </w:r>
      <w:r w:rsidR="00135B3D">
        <w:rPr>
          <w:lang w:eastAsia="en-AU"/>
        </w:rPr>
        <w:fldChar w:fldCharType="begin"/>
      </w:r>
      <w:r w:rsidR="00135B3D">
        <w:rPr>
          <w:lang w:eastAsia="en-AU"/>
        </w:rPr>
        <w:instrText xml:space="preserve"> REF _Ref67496607 \h </w:instrText>
      </w:r>
      <w:r w:rsidR="00135B3D">
        <w:rPr>
          <w:lang w:eastAsia="en-AU"/>
        </w:rPr>
      </w:r>
      <w:r w:rsidR="00135B3D">
        <w:rPr>
          <w:lang w:eastAsia="en-AU"/>
        </w:rPr>
        <w:fldChar w:fldCharType="separate"/>
      </w:r>
      <w:r w:rsidR="00552D9D">
        <w:t xml:space="preserve">Figure </w:t>
      </w:r>
      <w:r w:rsidR="00552D9D">
        <w:rPr>
          <w:noProof/>
        </w:rPr>
        <w:t>9</w:t>
      </w:r>
      <w:r w:rsidR="00135B3D">
        <w:rPr>
          <w:lang w:eastAsia="en-AU"/>
        </w:rPr>
        <w:fldChar w:fldCharType="end"/>
      </w:r>
      <w:r w:rsidR="00135B3D">
        <w:rPr>
          <w:lang w:eastAsia="en-AU"/>
        </w:rPr>
        <w:t>)</w:t>
      </w:r>
      <w:r w:rsidR="00F50E69">
        <w:rPr>
          <w:lang w:eastAsia="en-AU"/>
        </w:rPr>
        <w:t xml:space="preserve">.  As the timing of bail moved from prior to March 2020 to spanning </w:t>
      </w:r>
      <w:r w:rsidR="00F50E69">
        <w:rPr>
          <w:lang w:eastAsia="en-AU"/>
        </w:rPr>
        <w:lastRenderedPageBreak/>
        <w:t>March 2020, and from spanning March 2020 to starting from March 2020, the likelihood of a new offence was approximately 0.9 times the previous level</w:t>
      </w:r>
      <w:r w:rsidR="00135B3D">
        <w:rPr>
          <w:lang w:eastAsia="en-AU"/>
        </w:rPr>
        <w:t xml:space="preserve">—that is, </w:t>
      </w:r>
      <w:r w:rsidR="00F50E69">
        <w:rPr>
          <w:lang w:eastAsia="en-AU"/>
        </w:rPr>
        <w:t>it decreased by approximately 10%</w:t>
      </w:r>
      <w:r w:rsidR="00135B3D">
        <w:rPr>
          <w:lang w:eastAsia="en-AU"/>
        </w:rPr>
        <w:t xml:space="preserve"> (</w:t>
      </w:r>
      <w:r w:rsidR="00135B3D">
        <w:rPr>
          <w:lang w:eastAsia="en-AU"/>
        </w:rPr>
        <w:fldChar w:fldCharType="begin"/>
      </w:r>
      <w:r w:rsidR="00135B3D">
        <w:rPr>
          <w:lang w:eastAsia="en-AU"/>
        </w:rPr>
        <w:instrText xml:space="preserve"> REF _Ref67496633 \h </w:instrText>
      </w:r>
      <w:r w:rsidR="00135B3D">
        <w:rPr>
          <w:lang w:eastAsia="en-AU"/>
        </w:rPr>
      </w:r>
      <w:r w:rsidR="00135B3D">
        <w:rPr>
          <w:lang w:eastAsia="en-AU"/>
        </w:rPr>
        <w:fldChar w:fldCharType="separate"/>
      </w:r>
      <w:r w:rsidR="00552D9D">
        <w:t xml:space="preserve">Figure </w:t>
      </w:r>
      <w:r w:rsidR="00552D9D">
        <w:rPr>
          <w:noProof/>
        </w:rPr>
        <w:t>10</w:t>
      </w:r>
      <w:r w:rsidR="00135B3D">
        <w:rPr>
          <w:lang w:eastAsia="en-AU"/>
        </w:rPr>
        <w:fldChar w:fldCharType="end"/>
      </w:r>
      <w:r w:rsidR="00F50E69">
        <w:rPr>
          <w:lang w:eastAsia="en-AU"/>
        </w:rPr>
        <w:t>).</w:t>
      </w:r>
    </w:p>
    <w:p w:rsidR="00BC318A" w:rsidRDefault="00BC318A" w:rsidP="00BC318A">
      <w:pPr>
        <w:pStyle w:val="Caption"/>
        <w:keepNext/>
      </w:pPr>
      <w:bookmarkStart w:id="29" w:name="_Ref67496550"/>
      <w:r>
        <w:t xml:space="preserve">Figure </w:t>
      </w:r>
      <w:r w:rsidR="00111DFE">
        <w:fldChar w:fldCharType="begin"/>
      </w:r>
      <w:r w:rsidR="00111DFE">
        <w:instrText xml:space="preserve"> SEQ Figure \* ARABIC </w:instrText>
      </w:r>
      <w:r w:rsidR="00111DFE">
        <w:fldChar w:fldCharType="separate"/>
      </w:r>
      <w:r w:rsidR="00552D9D">
        <w:rPr>
          <w:noProof/>
        </w:rPr>
        <w:t>5</w:t>
      </w:r>
      <w:r w:rsidR="00111DFE">
        <w:rPr>
          <w:noProof/>
        </w:rPr>
        <w:fldChar w:fldCharType="end"/>
      </w:r>
      <w:bookmarkEnd w:id="29"/>
      <w:r w:rsidR="00B36F9D">
        <w:t xml:space="preserve">.  Cumulative incidence of </w:t>
      </w:r>
      <w:r w:rsidR="00825F59">
        <w:t>offending on bail</w:t>
      </w:r>
      <w:r w:rsidR="00B36F9D">
        <w:t xml:space="preserve"> by gender </w:t>
      </w:r>
    </w:p>
    <w:p w:rsidR="00BC318A" w:rsidRDefault="00BC318A" w:rsidP="007A669E">
      <w:pPr>
        <w:rPr>
          <w:lang w:eastAsia="en-AU"/>
        </w:rPr>
      </w:pPr>
      <w:r w:rsidRPr="00BC318A">
        <w:rPr>
          <w:noProof/>
          <w:lang w:eastAsia="en-AU"/>
        </w:rPr>
        <w:drawing>
          <wp:anchor distT="0" distB="0" distL="114300" distR="114300" simplePos="0" relativeHeight="251658240" behindDoc="0" locked="0" layoutInCell="1" allowOverlap="1">
            <wp:simplePos x="500332" y="1733909"/>
            <wp:positionH relativeFrom="column">
              <wp:align>left</wp:align>
            </wp:positionH>
            <wp:positionV relativeFrom="paragraph">
              <wp:align>top</wp:align>
            </wp:positionV>
            <wp:extent cx="5029200" cy="365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anchor>
        </w:drawing>
      </w:r>
      <w:r w:rsidR="005D4063">
        <w:rPr>
          <w:lang w:eastAsia="en-AU"/>
        </w:rPr>
        <w:br w:type="textWrapping" w:clear="all"/>
      </w:r>
    </w:p>
    <w:p w:rsidR="00B36F9D" w:rsidRDefault="00B36F9D" w:rsidP="00B36F9D">
      <w:pPr>
        <w:pStyle w:val="Caption"/>
        <w:keepNext/>
      </w:pPr>
      <w:bookmarkStart w:id="30" w:name="_Ref67496579"/>
      <w:r>
        <w:t xml:space="preserve">Figure </w:t>
      </w:r>
      <w:r w:rsidR="00111DFE">
        <w:fldChar w:fldCharType="begin"/>
      </w:r>
      <w:r w:rsidR="00111DFE">
        <w:instrText xml:space="preserve"> SEQ Figure \* ARABIC </w:instrText>
      </w:r>
      <w:r w:rsidR="00111DFE">
        <w:fldChar w:fldCharType="separate"/>
      </w:r>
      <w:r w:rsidR="00552D9D">
        <w:rPr>
          <w:noProof/>
        </w:rPr>
        <w:t>6</w:t>
      </w:r>
      <w:r w:rsidR="00111DFE">
        <w:rPr>
          <w:noProof/>
        </w:rPr>
        <w:fldChar w:fldCharType="end"/>
      </w:r>
      <w:bookmarkEnd w:id="30"/>
      <w:r>
        <w:t xml:space="preserve">.  Cumulative incidence of </w:t>
      </w:r>
      <w:r w:rsidR="00825F59">
        <w:t>offending on bail</w:t>
      </w:r>
      <w:r>
        <w:t xml:space="preserve"> by age group </w:t>
      </w:r>
    </w:p>
    <w:p w:rsidR="00B36F9D" w:rsidRDefault="00980366" w:rsidP="007A669E">
      <w:pPr>
        <w:rPr>
          <w:lang w:eastAsia="en-AU"/>
        </w:rPr>
      </w:pPr>
      <w:r w:rsidRPr="00980366">
        <w:rPr>
          <w:noProof/>
          <w:lang w:eastAsia="en-AU"/>
        </w:rPr>
        <w:drawing>
          <wp:inline distT="0" distB="0" distL="0" distR="0">
            <wp:extent cx="50292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301805" w:rsidRPr="00301805" w:rsidRDefault="00D442F2" w:rsidP="00301805">
      <w:pPr>
        <w:pStyle w:val="Caption"/>
        <w:keepNext/>
      </w:pPr>
      <w:bookmarkStart w:id="31" w:name="_Ref67576365"/>
      <w:bookmarkStart w:id="32" w:name="_Ref67496592"/>
      <w:r>
        <w:lastRenderedPageBreak/>
        <w:t xml:space="preserve">Figure </w:t>
      </w:r>
      <w:r w:rsidR="00111DFE">
        <w:fldChar w:fldCharType="begin"/>
      </w:r>
      <w:r w:rsidR="00111DFE">
        <w:instrText xml:space="preserve"> SEQ Figure \* ARABIC </w:instrText>
      </w:r>
      <w:r w:rsidR="00111DFE">
        <w:fldChar w:fldCharType="separate"/>
      </w:r>
      <w:r w:rsidR="00552D9D">
        <w:rPr>
          <w:noProof/>
        </w:rPr>
        <w:t>7</w:t>
      </w:r>
      <w:r w:rsidR="00111DFE">
        <w:rPr>
          <w:noProof/>
        </w:rPr>
        <w:fldChar w:fldCharType="end"/>
      </w:r>
      <w:bookmarkEnd w:id="31"/>
      <w:r w:rsidR="00301805">
        <w:t>.  Cumulative incidence of offending on bail by number of prior periods in custody</w:t>
      </w:r>
    </w:p>
    <w:p w:rsidR="00D442F2" w:rsidRDefault="00D442F2" w:rsidP="00B36F9D">
      <w:pPr>
        <w:pStyle w:val="Caption"/>
        <w:keepNext/>
      </w:pPr>
      <w:r w:rsidRPr="00D442F2">
        <w:rPr>
          <w:noProof/>
          <w:lang w:eastAsia="en-AU"/>
        </w:rPr>
        <w:drawing>
          <wp:inline distT="0" distB="0" distL="0" distR="0">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D442F2" w:rsidRPr="00D442F2" w:rsidRDefault="00D442F2" w:rsidP="00D442F2"/>
    <w:p w:rsidR="00B36F9D" w:rsidRDefault="00B36F9D" w:rsidP="00B36F9D">
      <w:pPr>
        <w:pStyle w:val="Caption"/>
        <w:keepNext/>
      </w:pPr>
      <w:bookmarkStart w:id="33" w:name="_Ref67576379"/>
      <w:r>
        <w:t xml:space="preserve">Figure </w:t>
      </w:r>
      <w:r w:rsidR="00111DFE">
        <w:fldChar w:fldCharType="begin"/>
      </w:r>
      <w:r w:rsidR="00111DFE">
        <w:instrText xml:space="preserve"> SEQ Figure \* ARABIC </w:instrText>
      </w:r>
      <w:r w:rsidR="00111DFE">
        <w:fldChar w:fldCharType="separate"/>
      </w:r>
      <w:r w:rsidR="00552D9D">
        <w:rPr>
          <w:noProof/>
        </w:rPr>
        <w:t>8</w:t>
      </w:r>
      <w:r w:rsidR="00111DFE">
        <w:rPr>
          <w:noProof/>
        </w:rPr>
        <w:fldChar w:fldCharType="end"/>
      </w:r>
      <w:bookmarkEnd w:id="32"/>
      <w:bookmarkEnd w:id="33"/>
      <w:r>
        <w:t>.  Cumulative incidence of</w:t>
      </w:r>
      <w:r w:rsidR="00825F59">
        <w:t xml:space="preserve"> offending on bail by number of prior apprehensions </w:t>
      </w:r>
    </w:p>
    <w:p w:rsidR="00B36F9D" w:rsidRDefault="00B36F9D" w:rsidP="007A669E">
      <w:pPr>
        <w:rPr>
          <w:lang w:eastAsia="en-AU"/>
        </w:rPr>
      </w:pPr>
      <w:r w:rsidRPr="00B36F9D">
        <w:rPr>
          <w:noProof/>
          <w:lang w:eastAsia="en-AU"/>
        </w:rPr>
        <w:drawing>
          <wp:inline distT="0" distB="0" distL="0" distR="0">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825F59" w:rsidRDefault="00825F59" w:rsidP="00825F59">
      <w:pPr>
        <w:pStyle w:val="Caption"/>
        <w:keepNext/>
      </w:pPr>
      <w:bookmarkStart w:id="34" w:name="_Ref67496607"/>
      <w:r>
        <w:lastRenderedPageBreak/>
        <w:t xml:space="preserve">Figure </w:t>
      </w:r>
      <w:r w:rsidR="00111DFE">
        <w:fldChar w:fldCharType="begin"/>
      </w:r>
      <w:r w:rsidR="00111DFE">
        <w:instrText xml:space="preserve"> SEQ Figure \* ARABIC </w:instrText>
      </w:r>
      <w:r w:rsidR="00111DFE">
        <w:fldChar w:fldCharType="separate"/>
      </w:r>
      <w:r w:rsidR="00552D9D">
        <w:rPr>
          <w:noProof/>
        </w:rPr>
        <w:t>9</w:t>
      </w:r>
      <w:r w:rsidR="00111DFE">
        <w:rPr>
          <w:noProof/>
        </w:rPr>
        <w:fldChar w:fldCharType="end"/>
      </w:r>
      <w:bookmarkEnd w:id="34"/>
      <w:r>
        <w:t xml:space="preserve">.  Cumulative incidence of offending on bail by offence type </w:t>
      </w:r>
    </w:p>
    <w:p w:rsidR="00B36F9D" w:rsidRDefault="00825F59" w:rsidP="007A669E">
      <w:pPr>
        <w:rPr>
          <w:lang w:eastAsia="en-AU"/>
        </w:rPr>
      </w:pPr>
      <w:r w:rsidRPr="00825F59">
        <w:rPr>
          <w:noProof/>
          <w:lang w:eastAsia="en-AU"/>
        </w:rPr>
        <w:drawing>
          <wp:inline distT="0" distB="0" distL="0" distR="0">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F61EB9" w:rsidRDefault="00F61EB9" w:rsidP="007A669E">
      <w:pPr>
        <w:rPr>
          <w:lang w:eastAsia="en-AU"/>
        </w:rPr>
      </w:pPr>
    </w:p>
    <w:p w:rsidR="00825F59" w:rsidRDefault="00825F59" w:rsidP="00825F59">
      <w:pPr>
        <w:pStyle w:val="Caption"/>
        <w:keepNext/>
      </w:pPr>
      <w:bookmarkStart w:id="35" w:name="_Ref67496633"/>
      <w:r>
        <w:t xml:space="preserve">Figure </w:t>
      </w:r>
      <w:r w:rsidR="00111DFE">
        <w:fldChar w:fldCharType="begin"/>
      </w:r>
      <w:r w:rsidR="00111DFE">
        <w:instrText xml:space="preserve"> SEQ Figure \* ARABIC </w:instrText>
      </w:r>
      <w:r w:rsidR="00111DFE">
        <w:fldChar w:fldCharType="separate"/>
      </w:r>
      <w:r w:rsidR="00552D9D">
        <w:rPr>
          <w:noProof/>
        </w:rPr>
        <w:t>10</w:t>
      </w:r>
      <w:r w:rsidR="00111DFE">
        <w:rPr>
          <w:noProof/>
        </w:rPr>
        <w:fldChar w:fldCharType="end"/>
      </w:r>
      <w:bookmarkEnd w:id="35"/>
      <w:r>
        <w:t xml:space="preserve">.  Cumulative incidence of offending on </w:t>
      </w:r>
      <w:r w:rsidR="00FD739B">
        <w:t>bail by timing of bail</w:t>
      </w:r>
    </w:p>
    <w:p w:rsidR="00825F59" w:rsidRDefault="00825F59" w:rsidP="007A669E">
      <w:pPr>
        <w:rPr>
          <w:lang w:eastAsia="en-AU"/>
        </w:rPr>
      </w:pPr>
      <w:r w:rsidRPr="00825F59">
        <w:rPr>
          <w:noProof/>
          <w:lang w:eastAsia="en-AU"/>
        </w:rPr>
        <w:drawing>
          <wp:inline distT="0" distB="0" distL="0" distR="0">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B36F9D" w:rsidRPr="007A669E" w:rsidRDefault="00B36F9D" w:rsidP="007A669E">
      <w:pPr>
        <w:rPr>
          <w:lang w:eastAsia="en-AU"/>
        </w:rPr>
      </w:pPr>
    </w:p>
    <w:p w:rsidR="00DC56A1" w:rsidRDefault="00DC56A1">
      <w:pPr>
        <w:rPr>
          <w:rFonts w:asciiTheme="majorHAnsi" w:eastAsiaTheme="majorEastAsia" w:hAnsiTheme="majorHAnsi" w:cstheme="majorBidi"/>
          <w:bCs/>
          <w:color w:val="1F1F5F" w:themeColor="text1"/>
          <w:kern w:val="32"/>
          <w:sz w:val="36"/>
          <w:szCs w:val="32"/>
          <w:lang w:eastAsia="en-AU"/>
        </w:rPr>
      </w:pPr>
      <w:r>
        <w:rPr>
          <w:lang w:eastAsia="en-AU"/>
        </w:rPr>
        <w:br w:type="page"/>
      </w:r>
    </w:p>
    <w:p w:rsidR="00D94B3C" w:rsidRDefault="00D94B3C" w:rsidP="00D94B3C">
      <w:pPr>
        <w:pStyle w:val="Heading1"/>
        <w:rPr>
          <w:lang w:eastAsia="en-AU"/>
        </w:rPr>
      </w:pPr>
      <w:bookmarkStart w:id="36" w:name="_Toc72758054"/>
      <w:r>
        <w:rPr>
          <w:lang w:eastAsia="en-AU"/>
        </w:rPr>
        <w:lastRenderedPageBreak/>
        <w:t>Discussion</w:t>
      </w:r>
      <w:bookmarkEnd w:id="36"/>
    </w:p>
    <w:p w:rsidR="00D94B3C" w:rsidRDefault="00D94B3C">
      <w:pPr>
        <w:rPr>
          <w:lang w:eastAsia="en-AU"/>
        </w:rPr>
      </w:pPr>
      <w:r>
        <w:rPr>
          <w:lang w:eastAsia="en-AU"/>
        </w:rPr>
        <w:t>For both adults and youths, the incidence of bail ending in a new event (new offending, breach of bail offence, or custody) decreased over the period examined, with bail commencing since March 2020 having a lower rate of new events.  For adults, the reduction may be due to the COVID</w:t>
      </w:r>
      <w:r w:rsidR="006A4732">
        <w:rPr>
          <w:lang w:eastAsia="en-AU"/>
        </w:rPr>
        <w:t>-</w:t>
      </w:r>
      <w:r>
        <w:rPr>
          <w:lang w:eastAsia="en-AU"/>
        </w:rPr>
        <w:t xml:space="preserve">19 movement restrictions.  The period from April 2020 through July 2020 saw reductions in Territory offences below the levels expected for the time of year.  While this may have been a factor for youth as well, the primary reason for the decrease in the incidence of youth bail ending in a new event is the change to the </w:t>
      </w:r>
      <w:r>
        <w:rPr>
          <w:i/>
          <w:lang w:eastAsia="en-AU"/>
        </w:rPr>
        <w:t>Bail Act 1982</w:t>
      </w:r>
      <w:r>
        <w:rPr>
          <w:lang w:eastAsia="en-AU"/>
        </w:rPr>
        <w:t xml:space="preserve">, which commenced on 2 March 2020.  The incidence of youth bail ending in a breach of bail offence dropped dramatically, while the incidence of youth bail ending in a new offence or custody </w:t>
      </w:r>
      <w:r w:rsidR="002D059C">
        <w:rPr>
          <w:lang w:eastAsia="en-AU"/>
        </w:rPr>
        <w:t>showed less change</w:t>
      </w:r>
      <w:r>
        <w:rPr>
          <w:lang w:eastAsia="en-AU"/>
        </w:rPr>
        <w:t>.</w:t>
      </w:r>
    </w:p>
    <w:p w:rsidR="001D6750" w:rsidRDefault="009F64A4">
      <w:pPr>
        <w:rPr>
          <w:lang w:eastAsia="en-AU"/>
        </w:rPr>
      </w:pPr>
      <w:r>
        <w:rPr>
          <w:lang w:eastAsia="en-AU"/>
        </w:rPr>
        <w:t xml:space="preserve">Males, younger people, those with </w:t>
      </w:r>
      <w:r w:rsidR="00FF5608">
        <w:rPr>
          <w:lang w:eastAsia="en-AU"/>
        </w:rPr>
        <w:t>more</w:t>
      </w:r>
      <w:r>
        <w:rPr>
          <w:lang w:eastAsia="en-AU"/>
        </w:rPr>
        <w:t xml:space="preserve"> </w:t>
      </w:r>
      <w:r w:rsidR="00FF5608">
        <w:rPr>
          <w:lang w:eastAsia="en-AU"/>
        </w:rPr>
        <w:t xml:space="preserve">prior periods in custody and </w:t>
      </w:r>
      <w:r>
        <w:rPr>
          <w:lang w:eastAsia="en-AU"/>
        </w:rPr>
        <w:t>prior apprehensions, and those on bail for a violent offence were more likely to offend while on bail than people who did not match those criteria.  While bail commencing after March 2020 was less likely to involve new offending, this is likely to have been a result of the reduced offending during the COVID</w:t>
      </w:r>
      <w:r w:rsidR="006A4732">
        <w:rPr>
          <w:lang w:eastAsia="en-AU"/>
        </w:rPr>
        <w:t>-</w:t>
      </w:r>
      <w:r>
        <w:rPr>
          <w:lang w:eastAsia="en-AU"/>
        </w:rPr>
        <w:t>19 restrictions, and thus, temporary.</w:t>
      </w:r>
      <w:r w:rsidR="001D6750">
        <w:rPr>
          <w:lang w:eastAsia="en-AU"/>
        </w:rPr>
        <w:t xml:space="preserve">  </w:t>
      </w:r>
    </w:p>
    <w:p w:rsidR="00F1522B" w:rsidRDefault="001D6750">
      <w:pPr>
        <w:rPr>
          <w:lang w:eastAsia="en-AU"/>
        </w:rPr>
      </w:pPr>
      <w:r>
        <w:rPr>
          <w:lang w:eastAsia="en-AU"/>
        </w:rPr>
        <w:t xml:space="preserve">Prior histories of escapes or going unlawfully at large while under corrections supervision and prior failures to appear in court while on bail were not significant predictors of new offending while on bail, though this may have been because of low frequencies:  more than half of the bail records had no prior history of these events.  Prior failures to appear in court might have been more likely to be associated with new breaches of bail, rather than new future offending.  </w:t>
      </w:r>
    </w:p>
    <w:p w:rsidR="00731907" w:rsidRDefault="00731907">
      <w:pPr>
        <w:rPr>
          <w:lang w:eastAsia="en-AU"/>
        </w:rPr>
      </w:pPr>
      <w:r>
        <w:rPr>
          <w:lang w:eastAsia="en-AU"/>
        </w:rPr>
        <w:t xml:space="preserve">Future assessments of offending while on bail might consider whether the defendant was subject to electronic monitoring, a breakdown of new offending by the severity of the new offence committed, and the covariates associated with more serious offending while on bail.  </w:t>
      </w:r>
    </w:p>
    <w:p w:rsidR="00245AC6" w:rsidRDefault="00245AC6">
      <w:pPr>
        <w:rPr>
          <w:lang w:eastAsia="en-AU"/>
        </w:rPr>
      </w:pPr>
    </w:p>
    <w:p w:rsidR="000B280D" w:rsidRDefault="00245AC6" w:rsidP="00245AC6">
      <w:pPr>
        <w:pStyle w:val="Heading1"/>
        <w:rPr>
          <w:lang w:eastAsia="en-AU"/>
        </w:rPr>
      </w:pPr>
      <w:bookmarkStart w:id="37" w:name="_Toc72758055"/>
      <w:r>
        <w:rPr>
          <w:lang w:eastAsia="en-AU"/>
        </w:rPr>
        <w:t>References</w:t>
      </w:r>
      <w:bookmarkEnd w:id="37"/>
    </w:p>
    <w:p w:rsidR="00245AC6" w:rsidRDefault="00245AC6" w:rsidP="00E42591">
      <w:pPr>
        <w:rPr>
          <w:lang w:eastAsia="en-AU"/>
        </w:rPr>
      </w:pPr>
      <w:r w:rsidRPr="00245AC6">
        <w:rPr>
          <w:lang w:eastAsia="en-AU"/>
        </w:rPr>
        <w:t xml:space="preserve">Enzo </w:t>
      </w:r>
      <w:proofErr w:type="spellStart"/>
      <w:r w:rsidRPr="00245AC6">
        <w:rPr>
          <w:lang w:eastAsia="en-AU"/>
        </w:rPr>
        <w:t>Coviello</w:t>
      </w:r>
      <w:proofErr w:type="spellEnd"/>
      <w:r w:rsidRPr="00245AC6">
        <w:rPr>
          <w:lang w:eastAsia="en-AU"/>
        </w:rPr>
        <w:t>, 2003. "STCOMPET: Stata module to generate cumulative incidence in presence of competing events," Statistical Software Components S431301, Boston College Department of Economics, revised 11 Nov 2012.</w:t>
      </w:r>
    </w:p>
    <w:p w:rsidR="00174532" w:rsidRDefault="002A2654" w:rsidP="00E42591">
      <w:pPr>
        <w:rPr>
          <w:lang w:eastAsia="en-AU"/>
        </w:rPr>
      </w:pPr>
      <w:r>
        <w:rPr>
          <w:lang w:eastAsia="en-AU"/>
        </w:rPr>
        <w:t xml:space="preserve">Fine, J.P., and R.J. </w:t>
      </w:r>
      <w:proofErr w:type="spellStart"/>
      <w:r>
        <w:rPr>
          <w:lang w:eastAsia="en-AU"/>
        </w:rPr>
        <w:t>Gray</w:t>
      </w:r>
      <w:proofErr w:type="spellEnd"/>
      <w:r>
        <w:rPr>
          <w:lang w:eastAsia="en-AU"/>
        </w:rPr>
        <w:t xml:space="preserve">.  1999.  A proportional hazards model for the </w:t>
      </w:r>
      <w:proofErr w:type="spellStart"/>
      <w:r>
        <w:rPr>
          <w:lang w:eastAsia="en-AU"/>
        </w:rPr>
        <w:t>subdistribution</w:t>
      </w:r>
      <w:proofErr w:type="spellEnd"/>
      <w:r>
        <w:rPr>
          <w:lang w:eastAsia="en-AU"/>
        </w:rPr>
        <w:t xml:space="preserve"> of a competing risk.  </w:t>
      </w:r>
      <w:r>
        <w:rPr>
          <w:i/>
          <w:lang w:eastAsia="en-AU"/>
        </w:rPr>
        <w:t xml:space="preserve">Journal of the American Statistical Association </w:t>
      </w:r>
      <w:r>
        <w:rPr>
          <w:lang w:eastAsia="en-AU"/>
        </w:rPr>
        <w:t>94:  496-509.</w:t>
      </w:r>
    </w:p>
    <w:p w:rsidR="002A2654" w:rsidRPr="00174532" w:rsidRDefault="002A2654" w:rsidP="00DB5B61">
      <w:pPr>
        <w:spacing w:after="0"/>
        <w:rPr>
          <w:rFonts w:ascii="Courier New" w:hAnsi="Courier New" w:cs="Courier New"/>
          <w:sz w:val="20"/>
          <w:lang w:eastAsia="en-AU"/>
        </w:rPr>
      </w:pPr>
    </w:p>
    <w:sectPr w:rsidR="002A2654" w:rsidRPr="00174532" w:rsidSect="005D4063">
      <w:footerReference w:type="default" r:id="rId27"/>
      <w:headerReference w:type="first" r:id="rId28"/>
      <w:pgSz w:w="11906" w:h="16838" w:code="9"/>
      <w:pgMar w:top="794" w:right="794" w:bottom="794" w:left="794" w:header="794" w:footer="6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FE" w:rsidRDefault="00111DFE">
      <w:r>
        <w:separator/>
      </w:r>
    </w:p>
  </w:endnote>
  <w:endnote w:type="continuationSeparator" w:id="0">
    <w:p w:rsidR="00111DFE" w:rsidRDefault="00111DFE">
      <w:r>
        <w:continuationSeparator/>
      </w:r>
    </w:p>
  </w:endnote>
  <w:endnote w:type="continuationNotice" w:id="1">
    <w:p w:rsidR="00111DFE" w:rsidRDefault="00111D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FF5608" w:rsidRDefault="00FF5608"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F538BD" w:rsidRDefault="00FF5608"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Default="00FF5608"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F538BD" w:rsidRDefault="00FF5608"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A50829" w:rsidRDefault="00FF5608" w:rsidP="00A50829">
    <w:pPr>
      <w:pStyle w:val="Hidden"/>
    </w:pPr>
    <w:proofErr w:type="spellStart"/>
    <w:r>
      <w:t>Februar</w:t>
    </w:r>
    <w:proofErr w:type="spellEnd"/>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F5608" w:rsidRPr="00132658" w:rsidTr="00B80643">
      <w:trPr>
        <w:cantSplit/>
        <w:trHeight w:hRule="exact" w:val="850"/>
        <w:tblHeader/>
      </w:trPr>
      <w:tc>
        <w:tcPr>
          <w:tcW w:w="10318" w:type="dxa"/>
          <w:vAlign w:val="bottom"/>
        </w:tcPr>
        <w:p w:rsidR="00FF5608" w:rsidRDefault="00FF5608" w:rsidP="00A50829">
          <w:pPr>
            <w:spacing w:after="0"/>
            <w:rPr>
              <w:rStyle w:val="PageNumber"/>
              <w:b/>
            </w:rPr>
          </w:pPr>
          <w:r>
            <w:rPr>
              <w:rStyle w:val="PageNumber"/>
            </w:rPr>
            <w:t xml:space="preserve">Department of </w:t>
          </w:r>
          <w:r>
            <w:rPr>
              <w:rStyle w:val="PageNumber"/>
              <w:b/>
            </w:rPr>
            <w:t>THE ATTORNEY-GENERAL AND JUSTICE</w:t>
          </w:r>
        </w:p>
        <w:p w:rsidR="00FF5608" w:rsidRPr="00CE6614" w:rsidRDefault="00111DFE" w:rsidP="00A50829">
          <w:pPr>
            <w:spacing w:after="0"/>
            <w:rPr>
              <w:rStyle w:val="PageNumber"/>
            </w:rPr>
          </w:pPr>
          <w:sdt>
            <w:sdtPr>
              <w:rPr>
                <w:rStyle w:val="PageNumber"/>
              </w:rPr>
              <w:alias w:val="Date"/>
              <w:tag w:val=""/>
              <w:id w:val="1578473972"/>
              <w:placeholder>
                <w:docPart w:val="45E185C1681C4210A1F420003B670239"/>
              </w:placeholder>
              <w:dataBinding w:prefixMappings="xmlns:ns0='http://schemas.microsoft.com/office/2006/coverPageProps' " w:xpath="/ns0:CoverPageProperties[1]/ns0:PublishDate[1]" w:storeItemID="{55AF091B-3C7A-41E3-B477-F2FDAA23CFDA}"/>
              <w15:color w:val="000000"/>
              <w:date w:fullDate="2021-03-25T00:00:00Z">
                <w:dateFormat w:val="d MMMM yyyy"/>
                <w:lid w:val="en-AU"/>
                <w:storeMappedDataAs w:val="dateTime"/>
                <w:calendar w:val="gregorian"/>
              </w:date>
            </w:sdtPr>
            <w:sdtEndPr>
              <w:rPr>
                <w:rStyle w:val="PageNumber"/>
              </w:rPr>
            </w:sdtEndPr>
            <w:sdtContent>
              <w:r w:rsidR="00FF5608">
                <w:rPr>
                  <w:rStyle w:val="PageNumber"/>
                </w:rPr>
                <w:t>25 March 2021</w:t>
              </w:r>
            </w:sdtContent>
          </w:sdt>
        </w:p>
        <w:p w:rsidR="00FF5608" w:rsidRPr="00AC4488" w:rsidRDefault="00FF5608"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93A98">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93A98">
            <w:rPr>
              <w:rStyle w:val="PageNumber"/>
              <w:noProof/>
            </w:rPr>
            <w:t>16</w:t>
          </w:r>
          <w:r w:rsidRPr="00AC4488">
            <w:rPr>
              <w:rStyle w:val="PageNumber"/>
            </w:rPr>
            <w:fldChar w:fldCharType="end"/>
          </w:r>
        </w:p>
      </w:tc>
    </w:tr>
  </w:tbl>
  <w:p w:rsidR="00FF5608" w:rsidRDefault="00FF5608"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FE" w:rsidRDefault="00111DFE">
      <w:r>
        <w:separator/>
      </w:r>
    </w:p>
  </w:footnote>
  <w:footnote w:type="continuationSeparator" w:id="0">
    <w:p w:rsidR="00111DFE" w:rsidRDefault="00111DFE">
      <w:r>
        <w:continuationSeparator/>
      </w:r>
    </w:p>
  </w:footnote>
  <w:footnote w:type="continuationNotice" w:id="1">
    <w:p w:rsidR="00111DFE" w:rsidRDefault="00111DFE">
      <w:pPr>
        <w:spacing w:after="0"/>
      </w:pPr>
    </w:p>
  </w:footnote>
  <w:footnote w:id="2">
    <w:p w:rsidR="00FF5608" w:rsidRDefault="00FF5608" w:rsidP="00E42591">
      <w:pPr>
        <w:pStyle w:val="FootnoteText"/>
      </w:pPr>
      <w:r>
        <w:rPr>
          <w:rStyle w:val="FootnoteReference"/>
        </w:rPr>
        <w:footnoteRef/>
      </w:r>
      <w:r>
        <w:t xml:space="preserve"> Determined as a date where court appearance</w:t>
      </w:r>
      <w:r w:rsidR="00FC640E">
        <w:t xml:space="preserve"> by the defendant</w:t>
      </w:r>
      <w:r>
        <w:t xml:space="preserve"> is recorded as ‘N’ and either a breach of bail and/or warrants mesne/fail to appear offence is recorded</w:t>
      </w:r>
    </w:p>
  </w:footnote>
  <w:footnote w:id="3">
    <w:p w:rsidR="00FF5608" w:rsidRDefault="00FF5608" w:rsidP="00E42591">
      <w:pPr>
        <w:pStyle w:val="FootnoteText"/>
      </w:pPr>
      <w:r>
        <w:rPr>
          <w:rStyle w:val="FootnoteReference"/>
        </w:rPr>
        <w:footnoteRef/>
      </w:r>
      <w:r>
        <w:t xml:space="preserve"> Custodial receptions on the last day of bail were excluded if they were due to sentencing, guilty finding or plea, or similar non-breach reasons (these receptions were deemed to be after the bail finished).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8E0345" w:rsidRDefault="00111DFE" w:rsidP="005A5A44">
    <w:pPr>
      <w:pStyle w:val="Header"/>
    </w:pPr>
    <w:sdt>
      <w:sdtPr>
        <w:alias w:val="Title"/>
        <w:tag w:val=""/>
        <w:id w:val="-477918894"/>
        <w:placeholder>
          <w:docPart w:val="3EE1F3B00E904E16AB514D4F76F2FA48"/>
        </w:placeholder>
        <w:dataBinding w:prefixMappings="xmlns:ns0='http://purl.org/dc/elements/1.1/' xmlns:ns1='http://schemas.openxmlformats.org/package/2006/metadata/core-properties' " w:xpath="/ns1:coreProperties[1]/ns0:title[1]" w:storeItemID="{6C3C8BC8-F283-45AE-878A-BAB7291924A1}"/>
        <w:text/>
      </w:sdtPr>
      <w:sdtEndPr/>
      <w:sdtContent>
        <w:r w:rsidR="00FF5608">
          <w:t>Reoffending While on Bail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BD0F38" w:rsidRDefault="00FF5608"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4E7885" w:rsidRDefault="00111DFE" w:rsidP="004E7885">
    <w:pPr>
      <w:pStyle w:val="Header"/>
    </w:pPr>
    <w:sdt>
      <w:sdtPr>
        <w:alias w:val="Title"/>
        <w:tag w:val="Title"/>
        <w:id w:val="94911156"/>
        <w:lock w:val="sdtLocked"/>
        <w:placeholder>
          <w:docPart w:val="3EE1F3B00E904E16AB514D4F76F2FA48"/>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FF5608">
          <w:t>Reoffending While on Bail</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8" w:rsidRPr="00274F1C" w:rsidRDefault="00FF5608"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2A1ED49DBC6E4787B9F347766B7DD088"/>
      </w:placeholder>
      <w:dataBinding w:prefixMappings="xmlns:ns0='http://purl.org/dc/elements/1.1/' xmlns:ns1='http://schemas.openxmlformats.org/package/2006/metadata/core-properties' " w:xpath="/ns1:coreProperties[1]/ns0:title[1]" w:storeItemID="{6C3C8BC8-F283-45AE-878A-BAB7291924A1}"/>
      <w:text/>
    </w:sdtPr>
    <w:sdtEndPr/>
    <w:sdtContent>
      <w:p w:rsidR="00FF5608" w:rsidRPr="00964B22" w:rsidRDefault="00FF5608" w:rsidP="008E0345">
        <w:pPr>
          <w:pStyle w:val="Header"/>
          <w:rPr>
            <w:b/>
          </w:rPr>
        </w:pPr>
        <w:r>
          <w:t>Reoffending While on Bail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E752F05"/>
    <w:multiLevelType w:val="hybridMultilevel"/>
    <w:tmpl w:val="00CC1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6B466EC"/>
    <w:multiLevelType w:val="hybridMultilevel"/>
    <w:tmpl w:val="4A143960"/>
    <w:lvl w:ilvl="0" w:tplc="6BF895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8"/>
  </w:num>
  <w:num w:numId="4">
    <w:abstractNumId w:val="40"/>
  </w:num>
  <w:num w:numId="5">
    <w:abstractNumId w:val="24"/>
  </w:num>
  <w:num w:numId="6">
    <w:abstractNumId w:val="13"/>
  </w:num>
  <w:num w:numId="7">
    <w:abstractNumId w:val="46"/>
  </w:num>
  <w:num w:numId="8">
    <w:abstractNumId w:val="22"/>
  </w:num>
  <w:num w:numId="9">
    <w:abstractNumId w:val="53"/>
  </w:num>
  <w:num w:numId="10">
    <w:abstractNumId w:val="18"/>
  </w:num>
  <w:num w:numId="11">
    <w:abstractNumId w:val="59"/>
  </w:num>
  <w:num w:numId="12">
    <w:abstractNumId w:val="15"/>
  </w:num>
  <w:num w:numId="13">
    <w:abstractNumId w:val="1"/>
  </w:num>
  <w:num w:numId="14">
    <w:abstractNumId w:val="57"/>
  </w:num>
  <w:num w:numId="15">
    <w:abstractNumId w:val="23"/>
  </w:num>
  <w:num w:numId="16">
    <w:abstractNumId w:val="58"/>
  </w:num>
  <w:num w:numId="17">
    <w:abstractNumId w:val="65"/>
  </w:num>
  <w:num w:numId="18">
    <w:abstractNumId w:val="52"/>
  </w:num>
  <w:num w:numId="19">
    <w:abstractNumId w:val="44"/>
  </w:num>
  <w:num w:numId="20">
    <w:abstractNumId w:val="48"/>
  </w:num>
  <w:num w:numId="21">
    <w:abstractNumId w:val="36"/>
  </w:num>
  <w:num w:numId="22">
    <w:abstractNumId w:val="51"/>
  </w:num>
  <w:num w:numId="23">
    <w:abstractNumId w:val="43"/>
  </w:num>
  <w:num w:numId="24">
    <w:abstractNumId w:val="38"/>
  </w:num>
  <w:num w:numId="25">
    <w:abstractNumId w:val="33"/>
  </w:num>
  <w:num w:numId="26">
    <w:abstractNumId w:val="10"/>
  </w:num>
  <w:num w:numId="27">
    <w:abstractNumId w:val="66"/>
  </w:num>
  <w:num w:numId="28">
    <w:abstractNumId w:val="32"/>
  </w:num>
  <w:num w:numId="29">
    <w:abstractNumId w:val="25"/>
  </w:num>
  <w:num w:numId="30">
    <w:abstractNumId w:val="0"/>
  </w:num>
  <w:num w:numId="31">
    <w:abstractNumId w:val="37"/>
  </w:num>
  <w:num w:numId="32">
    <w:abstractNumId w:val="9"/>
  </w:num>
  <w:num w:numId="33">
    <w:abstractNumId w:val="60"/>
  </w:num>
  <w:num w:numId="34">
    <w:abstractNumId w:val="28"/>
  </w:num>
  <w:num w:numId="35">
    <w:abstractNumId w:val="67"/>
  </w:num>
  <w:num w:numId="36">
    <w:abstractNumId w:val="54"/>
  </w:num>
  <w:num w:numId="37">
    <w:abstractNumId w:val="4"/>
  </w:num>
  <w:num w:numId="38">
    <w:abstractNumId w:val="31"/>
  </w:num>
  <w:num w:numId="39">
    <w:abstractNumId w:val="45"/>
  </w:num>
  <w:num w:numId="40">
    <w:abstractNumId w:val="35"/>
  </w:num>
  <w:num w:numId="41">
    <w:abstractNumId w:val="2"/>
  </w:num>
  <w:num w:numId="42">
    <w:abstractNumId w:val="61"/>
  </w:num>
  <w:num w:numId="43">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91"/>
    <w:rsid w:val="00001DDF"/>
    <w:rsid w:val="0000322D"/>
    <w:rsid w:val="00007670"/>
    <w:rsid w:val="00010665"/>
    <w:rsid w:val="00023057"/>
    <w:rsid w:val="000238B4"/>
    <w:rsid w:val="0002393A"/>
    <w:rsid w:val="00027DB8"/>
    <w:rsid w:val="000307A7"/>
    <w:rsid w:val="00031A96"/>
    <w:rsid w:val="00040BF3"/>
    <w:rsid w:val="0004562E"/>
    <w:rsid w:val="00046C59"/>
    <w:rsid w:val="00050358"/>
    <w:rsid w:val="00051362"/>
    <w:rsid w:val="00051F45"/>
    <w:rsid w:val="00052953"/>
    <w:rsid w:val="0005341A"/>
    <w:rsid w:val="00055EFD"/>
    <w:rsid w:val="00056DEF"/>
    <w:rsid w:val="00060872"/>
    <w:rsid w:val="000720BE"/>
    <w:rsid w:val="0007259C"/>
    <w:rsid w:val="00080202"/>
    <w:rsid w:val="00080DCD"/>
    <w:rsid w:val="00080E22"/>
    <w:rsid w:val="00081E5F"/>
    <w:rsid w:val="00082573"/>
    <w:rsid w:val="000840A3"/>
    <w:rsid w:val="00085062"/>
    <w:rsid w:val="00086A5F"/>
    <w:rsid w:val="000911EF"/>
    <w:rsid w:val="000962C5"/>
    <w:rsid w:val="000A4317"/>
    <w:rsid w:val="000A559C"/>
    <w:rsid w:val="000B280D"/>
    <w:rsid w:val="000B2CA1"/>
    <w:rsid w:val="000B4DE0"/>
    <w:rsid w:val="000B6E48"/>
    <w:rsid w:val="000D1F29"/>
    <w:rsid w:val="000D633D"/>
    <w:rsid w:val="000D7524"/>
    <w:rsid w:val="000E0962"/>
    <w:rsid w:val="000E342B"/>
    <w:rsid w:val="000E38FB"/>
    <w:rsid w:val="000E5DD2"/>
    <w:rsid w:val="000F21F0"/>
    <w:rsid w:val="000F2958"/>
    <w:rsid w:val="000F4805"/>
    <w:rsid w:val="000F6DFA"/>
    <w:rsid w:val="00104E7F"/>
    <w:rsid w:val="00111DFE"/>
    <w:rsid w:val="001137EC"/>
    <w:rsid w:val="001152F5"/>
    <w:rsid w:val="00117743"/>
    <w:rsid w:val="00117F5B"/>
    <w:rsid w:val="00132658"/>
    <w:rsid w:val="00135B3D"/>
    <w:rsid w:val="001442C5"/>
    <w:rsid w:val="00147DED"/>
    <w:rsid w:val="00150540"/>
    <w:rsid w:val="00150DC0"/>
    <w:rsid w:val="00156CD4"/>
    <w:rsid w:val="00161CC6"/>
    <w:rsid w:val="00164A3E"/>
    <w:rsid w:val="00166FF6"/>
    <w:rsid w:val="00172661"/>
    <w:rsid w:val="00172C77"/>
    <w:rsid w:val="00174532"/>
    <w:rsid w:val="00176123"/>
    <w:rsid w:val="00181620"/>
    <w:rsid w:val="001903C4"/>
    <w:rsid w:val="001957AD"/>
    <w:rsid w:val="001A2B7F"/>
    <w:rsid w:val="001A3AFD"/>
    <w:rsid w:val="001A496C"/>
    <w:rsid w:val="001A6304"/>
    <w:rsid w:val="001B2B6C"/>
    <w:rsid w:val="001B2FB8"/>
    <w:rsid w:val="001C1C22"/>
    <w:rsid w:val="001D01C4"/>
    <w:rsid w:val="001D52B0"/>
    <w:rsid w:val="001D5A18"/>
    <w:rsid w:val="001D6750"/>
    <w:rsid w:val="001D7CA4"/>
    <w:rsid w:val="001E057F"/>
    <w:rsid w:val="001E14EB"/>
    <w:rsid w:val="001E1D4D"/>
    <w:rsid w:val="001F59E6"/>
    <w:rsid w:val="00201DEF"/>
    <w:rsid w:val="00202014"/>
    <w:rsid w:val="00206936"/>
    <w:rsid w:val="00206C6F"/>
    <w:rsid w:val="00206FBD"/>
    <w:rsid w:val="00207746"/>
    <w:rsid w:val="00217B34"/>
    <w:rsid w:val="00221220"/>
    <w:rsid w:val="00230031"/>
    <w:rsid w:val="00235C01"/>
    <w:rsid w:val="00236878"/>
    <w:rsid w:val="00245AC6"/>
    <w:rsid w:val="00247343"/>
    <w:rsid w:val="00247538"/>
    <w:rsid w:val="00264C90"/>
    <w:rsid w:val="00265C56"/>
    <w:rsid w:val="002716CD"/>
    <w:rsid w:val="00272232"/>
    <w:rsid w:val="00274D4B"/>
    <w:rsid w:val="002806F5"/>
    <w:rsid w:val="00281577"/>
    <w:rsid w:val="002926BC"/>
    <w:rsid w:val="00293A72"/>
    <w:rsid w:val="002A0160"/>
    <w:rsid w:val="002A2654"/>
    <w:rsid w:val="002A30C3"/>
    <w:rsid w:val="002A6F6A"/>
    <w:rsid w:val="002A7712"/>
    <w:rsid w:val="002B38F7"/>
    <w:rsid w:val="002B4C0D"/>
    <w:rsid w:val="002B5591"/>
    <w:rsid w:val="002B6AA4"/>
    <w:rsid w:val="002C1FE9"/>
    <w:rsid w:val="002D059C"/>
    <w:rsid w:val="002D3A57"/>
    <w:rsid w:val="002D7D05"/>
    <w:rsid w:val="002E1191"/>
    <w:rsid w:val="002E20C8"/>
    <w:rsid w:val="002E4290"/>
    <w:rsid w:val="002E5B94"/>
    <w:rsid w:val="002E66A6"/>
    <w:rsid w:val="002F0DB1"/>
    <w:rsid w:val="002F2885"/>
    <w:rsid w:val="002F3CF1"/>
    <w:rsid w:val="002F45A1"/>
    <w:rsid w:val="00301805"/>
    <w:rsid w:val="003037F9"/>
    <w:rsid w:val="0030583E"/>
    <w:rsid w:val="00307FE1"/>
    <w:rsid w:val="003164BA"/>
    <w:rsid w:val="00316A7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1E4A"/>
    <w:rsid w:val="003B67FD"/>
    <w:rsid w:val="003B6A61"/>
    <w:rsid w:val="003C1B5D"/>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28E0"/>
    <w:rsid w:val="00426E25"/>
    <w:rsid w:val="00427D83"/>
    <w:rsid w:val="00427D9C"/>
    <w:rsid w:val="00427E7E"/>
    <w:rsid w:val="00432B40"/>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AD8"/>
    <w:rsid w:val="004A0EBA"/>
    <w:rsid w:val="004A2538"/>
    <w:rsid w:val="004A32A8"/>
    <w:rsid w:val="004B0C15"/>
    <w:rsid w:val="004B2D62"/>
    <w:rsid w:val="004B35EA"/>
    <w:rsid w:val="004B69E4"/>
    <w:rsid w:val="004B7373"/>
    <w:rsid w:val="004C03B3"/>
    <w:rsid w:val="004C2BF4"/>
    <w:rsid w:val="004C6C39"/>
    <w:rsid w:val="004D075F"/>
    <w:rsid w:val="004D1B76"/>
    <w:rsid w:val="004D344E"/>
    <w:rsid w:val="004D4388"/>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2D9D"/>
    <w:rsid w:val="0055531B"/>
    <w:rsid w:val="00556113"/>
    <w:rsid w:val="00564C12"/>
    <w:rsid w:val="005654B8"/>
    <w:rsid w:val="00566E07"/>
    <w:rsid w:val="0057377F"/>
    <w:rsid w:val="005762CC"/>
    <w:rsid w:val="00582D3D"/>
    <w:rsid w:val="00583889"/>
    <w:rsid w:val="00595386"/>
    <w:rsid w:val="005953B0"/>
    <w:rsid w:val="005A3621"/>
    <w:rsid w:val="005A4AC0"/>
    <w:rsid w:val="005A5A44"/>
    <w:rsid w:val="005A5FDF"/>
    <w:rsid w:val="005B0FB7"/>
    <w:rsid w:val="005B122A"/>
    <w:rsid w:val="005B5AC2"/>
    <w:rsid w:val="005B6E62"/>
    <w:rsid w:val="005C2833"/>
    <w:rsid w:val="005C3931"/>
    <w:rsid w:val="005D39D0"/>
    <w:rsid w:val="005D4063"/>
    <w:rsid w:val="005E144D"/>
    <w:rsid w:val="005E1500"/>
    <w:rsid w:val="005E3A43"/>
    <w:rsid w:val="005E51A4"/>
    <w:rsid w:val="005F015D"/>
    <w:rsid w:val="005F77C7"/>
    <w:rsid w:val="0060695A"/>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4732"/>
    <w:rsid w:val="006A756A"/>
    <w:rsid w:val="006C396A"/>
    <w:rsid w:val="006D1ADA"/>
    <w:rsid w:val="006D66F7"/>
    <w:rsid w:val="006E3B5D"/>
    <w:rsid w:val="00702D61"/>
    <w:rsid w:val="00705C9D"/>
    <w:rsid w:val="00705F13"/>
    <w:rsid w:val="00714F1D"/>
    <w:rsid w:val="00715225"/>
    <w:rsid w:val="00717385"/>
    <w:rsid w:val="00717C37"/>
    <w:rsid w:val="00720CC6"/>
    <w:rsid w:val="00722DDB"/>
    <w:rsid w:val="00724728"/>
    <w:rsid w:val="00724F98"/>
    <w:rsid w:val="007264B2"/>
    <w:rsid w:val="00730B9B"/>
    <w:rsid w:val="0073182E"/>
    <w:rsid w:val="00731907"/>
    <w:rsid w:val="007332FF"/>
    <w:rsid w:val="0073438B"/>
    <w:rsid w:val="007408F5"/>
    <w:rsid w:val="00741EAE"/>
    <w:rsid w:val="007551E1"/>
    <w:rsid w:val="00755248"/>
    <w:rsid w:val="007557E0"/>
    <w:rsid w:val="0076190B"/>
    <w:rsid w:val="00761972"/>
    <w:rsid w:val="0076355D"/>
    <w:rsid w:val="00763A2D"/>
    <w:rsid w:val="007761D8"/>
    <w:rsid w:val="00776E12"/>
    <w:rsid w:val="00777795"/>
    <w:rsid w:val="0078015B"/>
    <w:rsid w:val="00783A57"/>
    <w:rsid w:val="00784C92"/>
    <w:rsid w:val="007859CD"/>
    <w:rsid w:val="00786FA3"/>
    <w:rsid w:val="007901F5"/>
    <w:rsid w:val="007906BB"/>
    <w:rsid w:val="007907E4"/>
    <w:rsid w:val="00796461"/>
    <w:rsid w:val="00796767"/>
    <w:rsid w:val="00797696"/>
    <w:rsid w:val="007A669E"/>
    <w:rsid w:val="007A6A4F"/>
    <w:rsid w:val="007B03F5"/>
    <w:rsid w:val="007B59D3"/>
    <w:rsid w:val="007B5C09"/>
    <w:rsid w:val="007B5DA2"/>
    <w:rsid w:val="007C0966"/>
    <w:rsid w:val="007C19E7"/>
    <w:rsid w:val="007C5CFD"/>
    <w:rsid w:val="007C6D9F"/>
    <w:rsid w:val="007D4893"/>
    <w:rsid w:val="007D7697"/>
    <w:rsid w:val="007E6523"/>
    <w:rsid w:val="007E70CF"/>
    <w:rsid w:val="007E74A4"/>
    <w:rsid w:val="007F263F"/>
    <w:rsid w:val="007F46EA"/>
    <w:rsid w:val="007F5579"/>
    <w:rsid w:val="008002E8"/>
    <w:rsid w:val="0080766E"/>
    <w:rsid w:val="008105BE"/>
    <w:rsid w:val="00811169"/>
    <w:rsid w:val="00815297"/>
    <w:rsid w:val="00817BA1"/>
    <w:rsid w:val="00821D46"/>
    <w:rsid w:val="00823022"/>
    <w:rsid w:val="00825F59"/>
    <w:rsid w:val="0082634E"/>
    <w:rsid w:val="008313C4"/>
    <w:rsid w:val="00832B35"/>
    <w:rsid w:val="00835434"/>
    <w:rsid w:val="008358C0"/>
    <w:rsid w:val="00842838"/>
    <w:rsid w:val="00852724"/>
    <w:rsid w:val="00854BE6"/>
    <w:rsid w:val="00854EC1"/>
    <w:rsid w:val="0085797F"/>
    <w:rsid w:val="00861DC3"/>
    <w:rsid w:val="00867019"/>
    <w:rsid w:val="0087318E"/>
    <w:rsid w:val="008735A9"/>
    <w:rsid w:val="00877D20"/>
    <w:rsid w:val="00881C48"/>
    <w:rsid w:val="00885590"/>
    <w:rsid w:val="00885B80"/>
    <w:rsid w:val="00885C30"/>
    <w:rsid w:val="00885E9B"/>
    <w:rsid w:val="00886C9D"/>
    <w:rsid w:val="00893C96"/>
    <w:rsid w:val="0089500A"/>
    <w:rsid w:val="00897C94"/>
    <w:rsid w:val="008A1324"/>
    <w:rsid w:val="008A51A3"/>
    <w:rsid w:val="008A7C12"/>
    <w:rsid w:val="008B03CE"/>
    <w:rsid w:val="008B529E"/>
    <w:rsid w:val="008C17FB"/>
    <w:rsid w:val="008D1B00"/>
    <w:rsid w:val="008D4775"/>
    <w:rsid w:val="008D57B8"/>
    <w:rsid w:val="008E0345"/>
    <w:rsid w:val="008E03FC"/>
    <w:rsid w:val="008E3460"/>
    <w:rsid w:val="008E4FB1"/>
    <w:rsid w:val="008E510B"/>
    <w:rsid w:val="008E5940"/>
    <w:rsid w:val="008F4E6C"/>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0366"/>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9F64A4"/>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1E29"/>
    <w:rsid w:val="00A925EC"/>
    <w:rsid w:val="00A929AA"/>
    <w:rsid w:val="00A92B6B"/>
    <w:rsid w:val="00A9372B"/>
    <w:rsid w:val="00A955A9"/>
    <w:rsid w:val="00AA4C49"/>
    <w:rsid w:val="00AA541E"/>
    <w:rsid w:val="00AA57E5"/>
    <w:rsid w:val="00AD0DA4"/>
    <w:rsid w:val="00AD134E"/>
    <w:rsid w:val="00AD1B26"/>
    <w:rsid w:val="00AD23F7"/>
    <w:rsid w:val="00AD3E0A"/>
    <w:rsid w:val="00AD4169"/>
    <w:rsid w:val="00AD7557"/>
    <w:rsid w:val="00AE25C6"/>
    <w:rsid w:val="00AE306C"/>
    <w:rsid w:val="00AE5122"/>
    <w:rsid w:val="00AF28C1"/>
    <w:rsid w:val="00B02EF1"/>
    <w:rsid w:val="00B070B3"/>
    <w:rsid w:val="00B07C97"/>
    <w:rsid w:val="00B07EA1"/>
    <w:rsid w:val="00B11C67"/>
    <w:rsid w:val="00B15754"/>
    <w:rsid w:val="00B15A27"/>
    <w:rsid w:val="00B2046E"/>
    <w:rsid w:val="00B20E8B"/>
    <w:rsid w:val="00B2197E"/>
    <w:rsid w:val="00B257E1"/>
    <w:rsid w:val="00B2599A"/>
    <w:rsid w:val="00B27AC4"/>
    <w:rsid w:val="00B304C5"/>
    <w:rsid w:val="00B343CC"/>
    <w:rsid w:val="00B36F9D"/>
    <w:rsid w:val="00B37F43"/>
    <w:rsid w:val="00B43C75"/>
    <w:rsid w:val="00B5084A"/>
    <w:rsid w:val="00B56221"/>
    <w:rsid w:val="00B606A1"/>
    <w:rsid w:val="00B614F7"/>
    <w:rsid w:val="00B61B26"/>
    <w:rsid w:val="00B675B2"/>
    <w:rsid w:val="00B73CC4"/>
    <w:rsid w:val="00B80643"/>
    <w:rsid w:val="00B81261"/>
    <w:rsid w:val="00B81E11"/>
    <w:rsid w:val="00B8223E"/>
    <w:rsid w:val="00B832AE"/>
    <w:rsid w:val="00B86678"/>
    <w:rsid w:val="00B87EF2"/>
    <w:rsid w:val="00B92B62"/>
    <w:rsid w:val="00B92F9B"/>
    <w:rsid w:val="00B941B3"/>
    <w:rsid w:val="00B96513"/>
    <w:rsid w:val="00BA1D47"/>
    <w:rsid w:val="00BA66F0"/>
    <w:rsid w:val="00BB2239"/>
    <w:rsid w:val="00BB2AE7"/>
    <w:rsid w:val="00BB499A"/>
    <w:rsid w:val="00BB6464"/>
    <w:rsid w:val="00BC1BB8"/>
    <w:rsid w:val="00BC318A"/>
    <w:rsid w:val="00BD0F38"/>
    <w:rsid w:val="00BD7FE1"/>
    <w:rsid w:val="00BE37CA"/>
    <w:rsid w:val="00BE4B2A"/>
    <w:rsid w:val="00BE6144"/>
    <w:rsid w:val="00BE635A"/>
    <w:rsid w:val="00BF17E9"/>
    <w:rsid w:val="00BF2ABB"/>
    <w:rsid w:val="00BF5099"/>
    <w:rsid w:val="00C010FD"/>
    <w:rsid w:val="00C10F10"/>
    <w:rsid w:val="00C14042"/>
    <w:rsid w:val="00C15D4D"/>
    <w:rsid w:val="00C15DEC"/>
    <w:rsid w:val="00C175DC"/>
    <w:rsid w:val="00C30171"/>
    <w:rsid w:val="00C309D8"/>
    <w:rsid w:val="00C33998"/>
    <w:rsid w:val="00C43519"/>
    <w:rsid w:val="00C51537"/>
    <w:rsid w:val="00C52BC3"/>
    <w:rsid w:val="00C54813"/>
    <w:rsid w:val="00C5584B"/>
    <w:rsid w:val="00C61AFA"/>
    <w:rsid w:val="00C61D64"/>
    <w:rsid w:val="00C62099"/>
    <w:rsid w:val="00C64EA3"/>
    <w:rsid w:val="00C72867"/>
    <w:rsid w:val="00C75E81"/>
    <w:rsid w:val="00C75F52"/>
    <w:rsid w:val="00C864C0"/>
    <w:rsid w:val="00C86609"/>
    <w:rsid w:val="00C92B4C"/>
    <w:rsid w:val="00C954F6"/>
    <w:rsid w:val="00C95D30"/>
    <w:rsid w:val="00CA6BC5"/>
    <w:rsid w:val="00CB3E57"/>
    <w:rsid w:val="00CC1CCA"/>
    <w:rsid w:val="00CC61CD"/>
    <w:rsid w:val="00CD5011"/>
    <w:rsid w:val="00CE640F"/>
    <w:rsid w:val="00CE76BC"/>
    <w:rsid w:val="00CF540E"/>
    <w:rsid w:val="00D02370"/>
    <w:rsid w:val="00D02F07"/>
    <w:rsid w:val="00D23346"/>
    <w:rsid w:val="00D27EBE"/>
    <w:rsid w:val="00D36A49"/>
    <w:rsid w:val="00D442F2"/>
    <w:rsid w:val="00D517C6"/>
    <w:rsid w:val="00D64806"/>
    <w:rsid w:val="00D71D84"/>
    <w:rsid w:val="00D72464"/>
    <w:rsid w:val="00D768EB"/>
    <w:rsid w:val="00D82D1E"/>
    <w:rsid w:val="00D832D9"/>
    <w:rsid w:val="00D90F00"/>
    <w:rsid w:val="00D93A98"/>
    <w:rsid w:val="00D94B3C"/>
    <w:rsid w:val="00D94F6B"/>
    <w:rsid w:val="00D975C0"/>
    <w:rsid w:val="00DA5285"/>
    <w:rsid w:val="00DB191D"/>
    <w:rsid w:val="00DB4F91"/>
    <w:rsid w:val="00DB5B61"/>
    <w:rsid w:val="00DC1EF7"/>
    <w:rsid w:val="00DC1F0F"/>
    <w:rsid w:val="00DC3117"/>
    <w:rsid w:val="00DC56A1"/>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75F"/>
    <w:rsid w:val="00E27D7B"/>
    <w:rsid w:val="00E30556"/>
    <w:rsid w:val="00E30981"/>
    <w:rsid w:val="00E33136"/>
    <w:rsid w:val="00E34D7C"/>
    <w:rsid w:val="00E36C7E"/>
    <w:rsid w:val="00E3723D"/>
    <w:rsid w:val="00E42591"/>
    <w:rsid w:val="00E44C89"/>
    <w:rsid w:val="00E45536"/>
    <w:rsid w:val="00E536DD"/>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22B"/>
    <w:rsid w:val="00F15D8F"/>
    <w:rsid w:val="00F25588"/>
    <w:rsid w:val="00F36354"/>
    <w:rsid w:val="00F479D5"/>
    <w:rsid w:val="00F50E69"/>
    <w:rsid w:val="00F53B6B"/>
    <w:rsid w:val="00F5696E"/>
    <w:rsid w:val="00F60EFF"/>
    <w:rsid w:val="00F61EB9"/>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0E"/>
    <w:rsid w:val="00FC64AB"/>
    <w:rsid w:val="00FD3E6F"/>
    <w:rsid w:val="00FD4C89"/>
    <w:rsid w:val="00FD51B9"/>
    <w:rsid w:val="00FD739B"/>
    <w:rsid w:val="00FE2A39"/>
    <w:rsid w:val="00FE2EF6"/>
    <w:rsid w:val="00FF39CF"/>
    <w:rsid w:val="00FF560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5F0B"/>
  <w15:docId w15:val="{DC63C245-9FCC-4735-A563-EAAEBABF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5D4063"/>
    <w:pPr>
      <w:spacing w:after="120"/>
    </w:pPr>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footer" Target="footer5.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FD34FC74449678C6C1BF13A9FADF9"/>
        <w:category>
          <w:name w:val="General"/>
          <w:gallery w:val="placeholder"/>
        </w:category>
        <w:types>
          <w:type w:val="bbPlcHdr"/>
        </w:types>
        <w:behaviors>
          <w:behavior w:val="content"/>
        </w:behaviors>
        <w:guid w:val="{648565C1-264B-48B3-95CD-35EA16B945F8}"/>
      </w:docPartPr>
      <w:docPartBody>
        <w:p w:rsidR="00B76EEC" w:rsidRDefault="00B76EEC">
          <w:pPr>
            <w:pStyle w:val="79CFD34FC74449678C6C1BF13A9FADF9"/>
          </w:pPr>
          <w:r>
            <w:t>&lt;Document title&gt;</w:t>
          </w:r>
        </w:p>
      </w:docPartBody>
    </w:docPart>
    <w:docPart>
      <w:docPartPr>
        <w:name w:val="32A7FA3B177A462C8817FDAC9E5873D2"/>
        <w:category>
          <w:name w:val="General"/>
          <w:gallery w:val="placeholder"/>
        </w:category>
        <w:types>
          <w:type w:val="bbPlcHdr"/>
        </w:types>
        <w:behaviors>
          <w:behavior w:val="content"/>
        </w:behaviors>
        <w:guid w:val="{9A2F93A9-5A7D-4B5C-B17F-7764B52A5FDA}"/>
      </w:docPartPr>
      <w:docPartBody>
        <w:p w:rsidR="00B76EEC" w:rsidRDefault="00B76EEC">
          <w:pPr>
            <w:pStyle w:val="32A7FA3B177A462C8817FDAC9E5873D2"/>
          </w:pPr>
          <w:r w:rsidRPr="004E7885">
            <w:rPr>
              <w:rStyle w:val="PlaceholderText"/>
            </w:rPr>
            <w:t>&lt;Document title&gt;</w:t>
          </w:r>
        </w:p>
      </w:docPartBody>
    </w:docPart>
    <w:docPart>
      <w:docPartPr>
        <w:name w:val="3EE1F3B00E904E16AB514D4F76F2FA48"/>
        <w:category>
          <w:name w:val="General"/>
          <w:gallery w:val="placeholder"/>
        </w:category>
        <w:types>
          <w:type w:val="bbPlcHdr"/>
        </w:types>
        <w:behaviors>
          <w:behavior w:val="content"/>
        </w:behaviors>
        <w:guid w:val="{D603D792-387F-4520-BAF3-09E3AE1F3812}"/>
      </w:docPartPr>
      <w:docPartBody>
        <w:p w:rsidR="00B76EEC" w:rsidRDefault="00B76EEC">
          <w:pPr>
            <w:pStyle w:val="3EE1F3B00E904E16AB514D4F76F2FA48"/>
          </w:pPr>
          <w:r w:rsidRPr="004E7885">
            <w:rPr>
              <w:rStyle w:val="PlaceholderText"/>
            </w:rPr>
            <w:t>&lt;Document title&gt;</w:t>
          </w:r>
        </w:p>
      </w:docPartBody>
    </w:docPart>
    <w:docPart>
      <w:docPartPr>
        <w:name w:val="45E185C1681C4210A1F420003B670239"/>
        <w:category>
          <w:name w:val="General"/>
          <w:gallery w:val="placeholder"/>
        </w:category>
        <w:types>
          <w:type w:val="bbPlcHdr"/>
        </w:types>
        <w:behaviors>
          <w:behavior w:val="content"/>
        </w:behaviors>
        <w:guid w:val="{E371C2C2-FB00-421F-A68A-6B073E0193E5}"/>
      </w:docPartPr>
      <w:docPartBody>
        <w:p w:rsidR="00B76EEC" w:rsidRDefault="00B76EEC">
          <w:pPr>
            <w:pStyle w:val="45E185C1681C4210A1F420003B670239"/>
          </w:pPr>
          <w:r w:rsidRPr="005076E2">
            <w:t>&lt;Date Month Year&gt;</w:t>
          </w:r>
        </w:p>
      </w:docPartBody>
    </w:docPart>
    <w:docPart>
      <w:docPartPr>
        <w:name w:val="2A1ED49DBC6E4787B9F347766B7DD088"/>
        <w:category>
          <w:name w:val="General"/>
          <w:gallery w:val="placeholder"/>
        </w:category>
        <w:types>
          <w:type w:val="bbPlcHdr"/>
        </w:types>
        <w:behaviors>
          <w:behavior w:val="content"/>
        </w:behaviors>
        <w:guid w:val="{58D3DCD7-A406-435E-85DA-C1C264DA0EE8}"/>
      </w:docPartPr>
      <w:docPartBody>
        <w:p w:rsidR="00B76EEC" w:rsidRDefault="00B76EEC">
          <w:pPr>
            <w:pStyle w:val="2A1ED49DBC6E4787B9F347766B7DD0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EC"/>
    <w:rsid w:val="00126E43"/>
    <w:rsid w:val="00284B81"/>
    <w:rsid w:val="00291903"/>
    <w:rsid w:val="002A5AF5"/>
    <w:rsid w:val="0040000A"/>
    <w:rsid w:val="0059590D"/>
    <w:rsid w:val="00702225"/>
    <w:rsid w:val="009A3993"/>
    <w:rsid w:val="00B76EEC"/>
    <w:rsid w:val="00BA4BF9"/>
    <w:rsid w:val="00BC7AF2"/>
    <w:rsid w:val="00E94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FD34FC74449678C6C1BF13A9FADF9">
    <w:name w:val="79CFD34FC74449678C6C1BF13A9FADF9"/>
  </w:style>
  <w:style w:type="character" w:styleId="PlaceholderText">
    <w:name w:val="Placeholder Text"/>
    <w:basedOn w:val="DefaultParagraphFont"/>
    <w:uiPriority w:val="99"/>
    <w:semiHidden/>
    <w:rPr>
      <w:color w:val="808080"/>
    </w:rPr>
  </w:style>
  <w:style w:type="paragraph" w:customStyle="1" w:styleId="32A7FA3B177A462C8817FDAC9E5873D2">
    <w:name w:val="32A7FA3B177A462C8817FDAC9E5873D2"/>
  </w:style>
  <w:style w:type="paragraph" w:customStyle="1" w:styleId="3EE1F3B00E904E16AB514D4F76F2FA48">
    <w:name w:val="3EE1F3B00E904E16AB514D4F76F2FA48"/>
  </w:style>
  <w:style w:type="paragraph" w:customStyle="1" w:styleId="E190D38034F744B9BEA9E661334C8A3D">
    <w:name w:val="E190D38034F744B9BEA9E661334C8A3D"/>
  </w:style>
  <w:style w:type="paragraph" w:customStyle="1" w:styleId="45E185C1681C4210A1F420003B670239">
    <w:name w:val="45E185C1681C4210A1F420003B670239"/>
  </w:style>
  <w:style w:type="paragraph" w:customStyle="1" w:styleId="2A1ED49DBC6E4787B9F347766B7DD088">
    <w:name w:val="2A1ED49DBC6E4787B9F347766B7DD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A9644-DDC8-468C-8D8F-28FD8B7F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667</TotalTime>
  <Pages>16</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Reoffending While on Bail</vt:lpstr>
    </vt:vector>
  </TitlesOfParts>
  <Company>&lt;NAME&gt;</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Reoffending While on Bail</dc:title>
  <dc:creator>Carolyn Whyte</dc:creator>
  <cp:lastModifiedBy>Carolyn Whyte</cp:lastModifiedBy>
  <cp:revision>62</cp:revision>
  <cp:lastPrinted>2016-02-04T04:37:00Z</cp:lastPrinted>
  <dcterms:created xsi:type="dcterms:W3CDTF">2020-11-25T07:06:00Z</dcterms:created>
  <dcterms:modified xsi:type="dcterms:W3CDTF">2021-05-24T06:06:00Z</dcterms:modified>
</cp:coreProperties>
</file>