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Heading1Char"/>
          <w:bCs w:val="0"/>
          <w:szCs w:val="64"/>
        </w:rPr>
        <w:alias w:val="Title"/>
        <w:tag w:val="Title"/>
        <w:id w:val="-509755993"/>
        <w:placeholder>
          <w:docPart w:val="881541BA92764E73A7081F2BA76A5D3C"/>
        </w:placeholder>
        <w:dataBinding w:prefixMappings="xmlns:ns0='http://purl.org/dc/elements/1.1/' xmlns:ns1='http://schemas.openxmlformats.org/package/2006/metadata/core-properties' " w:xpath="/ns1:coreProperties[1]/ns0:title[1]" w:storeItemID="{6C3C8BC8-F283-45AE-878A-BAB7291924A1}"/>
        <w15:color w:val="1F1F5F"/>
        <w:text w:multiLine="1"/>
      </w:sdtPr>
      <w:sdtEndPr>
        <w:rPr>
          <w:rStyle w:val="Heading1Char"/>
        </w:rPr>
      </w:sdtEndPr>
      <w:sdtContent>
        <w:p w:rsidR="00D61FD1" w:rsidRDefault="006621A8" w:rsidP="006621A8">
          <w:pPr>
            <w:pStyle w:val="Title"/>
            <w:jc w:val="center"/>
          </w:pPr>
          <w:r w:rsidRPr="006621A8">
            <w:rPr>
              <w:rStyle w:val="Heading1Char"/>
              <w:bCs w:val="0"/>
              <w:szCs w:val="64"/>
            </w:rPr>
            <w:t xml:space="preserve">Civil Litigation Reform recommended by the Royal Commission into Institutional Responses to Child Sexual Abuse (RCIRCSA) </w:t>
          </w:r>
          <w:r w:rsidRPr="006621A8">
            <w:rPr>
              <w:rStyle w:val="Heading1Char"/>
              <w:bCs w:val="0"/>
              <w:szCs w:val="64"/>
            </w:rPr>
            <w:br/>
          </w:r>
          <w:r>
            <w:rPr>
              <w:rStyle w:val="Heading1Char"/>
              <w:bCs w:val="0"/>
              <w:szCs w:val="64"/>
            </w:rPr>
            <w:br/>
          </w:r>
          <w:r w:rsidRPr="006621A8">
            <w:rPr>
              <w:rStyle w:val="Heading1Char"/>
              <w:bCs w:val="0"/>
              <w:szCs w:val="64"/>
            </w:rPr>
            <w:t xml:space="preserve">Fact sheet 3: Proper Respondent and Continuity of Institutions </w:t>
          </w:r>
          <w:r w:rsidR="00E0433B">
            <w:rPr>
              <w:rStyle w:val="Heading1Char"/>
              <w:bCs w:val="0"/>
              <w:szCs w:val="64"/>
            </w:rPr>
            <w:t>for liability for institutional child abuse claims</w:t>
          </w:r>
        </w:p>
      </w:sdtContent>
    </w:sdt>
    <w:bookmarkStart w:id="0" w:name="_Toc15286907" w:displacedByCustomXml="prev"/>
    <w:bookmarkStart w:id="1" w:name="_Toc15286861" w:displacedByCustomXml="prev"/>
    <w:bookmarkEnd w:id="1"/>
    <w:bookmarkEnd w:id="0"/>
    <w:p w:rsidR="006621A8" w:rsidRPr="00B77712" w:rsidRDefault="006621A8" w:rsidP="006621A8">
      <w:pPr>
        <w:pStyle w:val="Heading1"/>
      </w:pPr>
      <w:r w:rsidRPr="00B77712">
        <w:t>Who should read this?</w:t>
      </w:r>
    </w:p>
    <w:p w:rsidR="006621A8" w:rsidRDefault="006621A8" w:rsidP="00122FC5">
      <w:pPr>
        <w:pStyle w:val="Bulletpoints"/>
        <w:tabs>
          <w:tab w:val="clear" w:pos="360"/>
        </w:tabs>
        <w:ind w:left="567" w:hanging="567"/>
        <w:rPr>
          <w:rFonts w:asciiTheme="minorHAnsi" w:hAnsiTheme="minorHAnsi" w:cstheme="minorHAnsi"/>
          <w:szCs w:val="22"/>
          <w:lang w:eastAsia="en-AU"/>
        </w:rPr>
      </w:pPr>
      <w:r>
        <w:rPr>
          <w:rFonts w:asciiTheme="minorHAnsi" w:hAnsiTheme="minorHAnsi" w:cstheme="minorHAnsi"/>
          <w:szCs w:val="22"/>
          <w:lang w:eastAsia="en-AU"/>
        </w:rPr>
        <w:t>All i</w:t>
      </w:r>
      <w:r w:rsidRPr="00E2521E">
        <w:rPr>
          <w:rFonts w:asciiTheme="minorHAnsi" w:hAnsiTheme="minorHAnsi" w:cstheme="minorHAnsi"/>
          <w:szCs w:val="22"/>
          <w:lang w:eastAsia="en-AU"/>
        </w:rPr>
        <w:t>nstitution</w:t>
      </w:r>
      <w:r>
        <w:rPr>
          <w:rFonts w:asciiTheme="minorHAnsi" w:hAnsiTheme="minorHAnsi" w:cstheme="minorHAnsi"/>
          <w:szCs w:val="22"/>
          <w:lang w:eastAsia="en-AU"/>
        </w:rPr>
        <w:t>s</w:t>
      </w:r>
      <w:r w:rsidRPr="00E2521E">
        <w:rPr>
          <w:rFonts w:asciiTheme="minorHAnsi" w:hAnsiTheme="minorHAnsi" w:cstheme="minorHAnsi"/>
          <w:szCs w:val="22"/>
          <w:lang w:eastAsia="en-AU"/>
        </w:rPr>
        <w:t xml:space="preserve"> that exercise care, supervision or authority</w:t>
      </w:r>
      <w:r>
        <w:rPr>
          <w:rFonts w:asciiTheme="minorHAnsi" w:hAnsiTheme="minorHAnsi" w:cstheme="minorHAnsi"/>
          <w:szCs w:val="22"/>
          <w:lang w:eastAsia="en-AU"/>
        </w:rPr>
        <w:t xml:space="preserve"> of</w:t>
      </w:r>
      <w:r w:rsidRPr="00E2521E">
        <w:rPr>
          <w:rFonts w:asciiTheme="minorHAnsi" w:hAnsiTheme="minorHAnsi" w:cstheme="minorHAnsi"/>
          <w:szCs w:val="22"/>
          <w:lang w:eastAsia="en-AU"/>
        </w:rPr>
        <w:t xml:space="preserve"> a child. </w:t>
      </w:r>
    </w:p>
    <w:p w:rsidR="006621A8" w:rsidRDefault="006621A8" w:rsidP="00122FC5">
      <w:pPr>
        <w:pStyle w:val="Bulletpoints"/>
        <w:tabs>
          <w:tab w:val="clear" w:pos="360"/>
        </w:tabs>
        <w:ind w:left="567" w:hanging="567"/>
        <w:rPr>
          <w:rFonts w:asciiTheme="minorHAnsi" w:hAnsiTheme="minorHAnsi" w:cstheme="minorHAnsi"/>
          <w:szCs w:val="22"/>
          <w:lang w:eastAsia="en-AU"/>
        </w:rPr>
      </w:pPr>
      <w:r w:rsidRPr="00E2521E">
        <w:rPr>
          <w:rFonts w:asciiTheme="minorHAnsi" w:hAnsiTheme="minorHAnsi" w:cstheme="minorHAnsi"/>
          <w:szCs w:val="22"/>
          <w:lang w:eastAsia="en-AU"/>
        </w:rPr>
        <w:t xml:space="preserve">‘Institution’ includes a body, an entity, a body corporate, a group of persons, an association and an organisation but does not include a family or individual. </w:t>
      </w:r>
      <w:r>
        <w:rPr>
          <w:rFonts w:asciiTheme="minorHAnsi" w:hAnsiTheme="minorHAnsi" w:cstheme="minorHAnsi"/>
          <w:szCs w:val="22"/>
          <w:lang w:eastAsia="en-AU"/>
        </w:rPr>
        <w:t>See below ‘what is an institution’ for examples.</w:t>
      </w:r>
    </w:p>
    <w:p w:rsidR="006621A8" w:rsidRDefault="006621A8" w:rsidP="00122FC5">
      <w:pPr>
        <w:pStyle w:val="Bulletpoints"/>
        <w:tabs>
          <w:tab w:val="clear" w:pos="360"/>
        </w:tabs>
        <w:ind w:left="567" w:hanging="567"/>
        <w:rPr>
          <w:rFonts w:asciiTheme="minorHAnsi" w:hAnsiTheme="minorHAnsi" w:cstheme="minorHAnsi"/>
          <w:szCs w:val="22"/>
          <w:lang w:eastAsia="en-AU"/>
        </w:rPr>
      </w:pPr>
      <w:r>
        <w:rPr>
          <w:rFonts w:asciiTheme="minorHAnsi" w:hAnsiTheme="minorHAnsi" w:cstheme="minorHAnsi"/>
          <w:szCs w:val="22"/>
          <w:lang w:eastAsia="en-AU"/>
        </w:rPr>
        <w:t>This fact sheet is particularly relevant for institutions that are unincorporated, have an associated property trust or are successor i</w:t>
      </w:r>
      <w:r w:rsidR="00122FC5">
        <w:rPr>
          <w:rFonts w:asciiTheme="minorHAnsi" w:hAnsiTheme="minorHAnsi" w:cstheme="minorHAnsi"/>
          <w:szCs w:val="22"/>
          <w:lang w:eastAsia="en-AU"/>
        </w:rPr>
        <w:t>nstitutions</w:t>
      </w:r>
      <w:r>
        <w:rPr>
          <w:rFonts w:asciiTheme="minorHAnsi" w:hAnsiTheme="minorHAnsi" w:cstheme="minorHAnsi"/>
          <w:szCs w:val="22"/>
          <w:lang w:eastAsia="en-AU"/>
        </w:rPr>
        <w:t xml:space="preserve"> of previous institutions which have </w:t>
      </w:r>
      <w:r w:rsidRPr="00794DF7">
        <w:rPr>
          <w:rFonts w:asciiTheme="minorHAnsi" w:hAnsiTheme="minorHAnsi" w:cstheme="minorHAnsi"/>
          <w:szCs w:val="22"/>
        </w:rPr>
        <w:t xml:space="preserve">changed name, restructured, become incorporated, or </w:t>
      </w:r>
      <w:r>
        <w:rPr>
          <w:rFonts w:asciiTheme="minorHAnsi" w:hAnsiTheme="minorHAnsi" w:cstheme="minorHAnsi"/>
          <w:szCs w:val="22"/>
        </w:rPr>
        <w:t>changed location.</w:t>
      </w:r>
    </w:p>
    <w:p w:rsidR="00E0433B" w:rsidRPr="00206914" w:rsidRDefault="00E0433B" w:rsidP="00122FC5">
      <w:pPr>
        <w:pStyle w:val="Bulletpoints"/>
        <w:tabs>
          <w:tab w:val="clear" w:pos="360"/>
        </w:tabs>
        <w:ind w:left="567" w:hanging="567"/>
        <w:rPr>
          <w:rFonts w:asciiTheme="minorHAnsi" w:hAnsiTheme="minorHAnsi" w:cstheme="minorHAnsi"/>
          <w:szCs w:val="22"/>
          <w:lang w:eastAsia="en-AU"/>
        </w:rPr>
      </w:pPr>
      <w:r w:rsidRPr="00206914">
        <w:rPr>
          <w:rFonts w:asciiTheme="minorHAnsi" w:hAnsiTheme="minorHAnsi" w:cstheme="minorHAnsi"/>
          <w:szCs w:val="22"/>
          <w:lang w:eastAsia="en-AU"/>
        </w:rPr>
        <w:t>The information in this fact sheet is not legal advice and is provided as information to assist institutions in understanding changes to the law.</w:t>
      </w:r>
    </w:p>
    <w:p w:rsidR="006621A8" w:rsidRPr="00E2521E" w:rsidRDefault="006621A8" w:rsidP="006621A8">
      <w:pPr>
        <w:pStyle w:val="Heading1"/>
      </w:pPr>
      <w:r w:rsidRPr="00E2521E">
        <w:t>Wh</w:t>
      </w:r>
      <w:r>
        <w:t>at is an</w:t>
      </w:r>
      <w:r w:rsidRPr="00E2521E">
        <w:t xml:space="preserve"> institution</w:t>
      </w:r>
      <w:r>
        <w:t>?</w:t>
      </w:r>
      <w:r w:rsidRPr="00E2521E">
        <w:t xml:space="preserve"> </w:t>
      </w:r>
    </w:p>
    <w:p w:rsidR="006621A8" w:rsidRPr="00E2521E" w:rsidRDefault="006621A8" w:rsidP="00122FC5">
      <w:pPr>
        <w:pStyle w:val="Bulletpoints"/>
        <w:tabs>
          <w:tab w:val="clear" w:pos="360"/>
          <w:tab w:val="num" w:pos="567"/>
        </w:tabs>
        <w:spacing w:after="120"/>
        <w:ind w:left="567" w:hanging="567"/>
        <w:rPr>
          <w:rFonts w:asciiTheme="minorHAnsi" w:hAnsiTheme="minorHAnsi" w:cstheme="minorHAnsi"/>
          <w:szCs w:val="22"/>
          <w:lang w:eastAsia="en-AU"/>
        </w:rPr>
      </w:pPr>
      <w:r w:rsidRPr="00E2521E">
        <w:rPr>
          <w:rFonts w:asciiTheme="minorHAnsi" w:hAnsiTheme="minorHAnsi" w:cstheme="minorHAnsi"/>
          <w:szCs w:val="22"/>
        </w:rPr>
        <w:t>Examples of institutions</w:t>
      </w:r>
      <w:r w:rsidRPr="00E2521E">
        <w:rPr>
          <w:rFonts w:asciiTheme="minorHAnsi" w:hAnsiTheme="minorHAnsi" w:cstheme="minorHAnsi"/>
          <w:szCs w:val="22"/>
          <w:lang w:eastAsia="en-AU"/>
        </w:rPr>
        <w:t xml:space="preserve"> that exercise care, supervision or authority over children include, but are not limited to:</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community service organisations providing services to children</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out-of-home care services</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religious bodies</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government agencies or departments providing services for children (including youth detention facilities)</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education and care services (such as childcare centres, family day care services, kindergartens and outside school hours care services)</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schools and other educational institutions</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lastRenderedPageBreak/>
        <w:t>sporting groups</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youth organisations</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local councils</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charities and benevolent organisations providing services for children</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housing services and homeless services</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health services including public and private hospitals</w:t>
      </w:r>
    </w:p>
    <w:p w:rsidR="006621A8" w:rsidRPr="00E2521E"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drug and alcohol treatment services</w:t>
      </w:r>
    </w:p>
    <w:p w:rsidR="006621A8" w:rsidRPr="003827D7" w:rsidRDefault="006621A8" w:rsidP="00122FC5">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proofErr w:type="gramStart"/>
      <w:r w:rsidRPr="00E2521E">
        <w:rPr>
          <w:rFonts w:asciiTheme="minorHAnsi" w:hAnsiTheme="minorHAnsi" w:cstheme="minorHAnsi"/>
          <w:szCs w:val="22"/>
          <w:lang w:eastAsia="en-AU"/>
        </w:rPr>
        <w:t>disability</w:t>
      </w:r>
      <w:proofErr w:type="gramEnd"/>
      <w:r w:rsidRPr="00E2521E">
        <w:rPr>
          <w:rFonts w:asciiTheme="minorHAnsi" w:hAnsiTheme="minorHAnsi" w:cstheme="minorHAnsi"/>
          <w:szCs w:val="22"/>
          <w:lang w:eastAsia="en-AU"/>
        </w:rPr>
        <w:t xml:space="preserve"> services providers.</w:t>
      </w:r>
    </w:p>
    <w:p w:rsidR="006621A8" w:rsidRPr="00C132C0" w:rsidRDefault="006621A8" w:rsidP="006621A8">
      <w:pPr>
        <w:pStyle w:val="Heading1"/>
      </w:pPr>
      <w:r>
        <w:t xml:space="preserve">Why have the amendments been made? </w:t>
      </w:r>
    </w:p>
    <w:p w:rsidR="006621A8" w:rsidRPr="00E2521E" w:rsidRDefault="006621A8" w:rsidP="00122FC5">
      <w:pPr>
        <w:pStyle w:val="Bulletpoints"/>
        <w:numPr>
          <w:ilvl w:val="0"/>
          <w:numId w:val="10"/>
        </w:numPr>
        <w:ind w:left="567" w:hanging="567"/>
        <w:rPr>
          <w:rFonts w:asciiTheme="minorHAnsi" w:hAnsiTheme="minorHAnsi" w:cstheme="minorHAnsi"/>
          <w:szCs w:val="22"/>
          <w:lang w:eastAsia="en-AU"/>
        </w:rPr>
      </w:pPr>
      <w:r>
        <w:rPr>
          <w:rFonts w:asciiTheme="minorHAnsi" w:hAnsiTheme="minorHAnsi" w:cstheme="minorHAnsi"/>
          <w:szCs w:val="22"/>
        </w:rPr>
        <w:t>I</w:t>
      </w:r>
      <w:r w:rsidRPr="00E2521E">
        <w:rPr>
          <w:rFonts w:asciiTheme="minorHAnsi" w:hAnsiTheme="minorHAnsi" w:cstheme="minorHAnsi"/>
          <w:szCs w:val="22"/>
        </w:rPr>
        <w:t>n January 2013</w:t>
      </w:r>
      <w:r>
        <w:rPr>
          <w:rFonts w:asciiTheme="minorHAnsi" w:hAnsiTheme="minorHAnsi" w:cstheme="minorHAnsi"/>
          <w:szCs w:val="22"/>
        </w:rPr>
        <w:t>,</w:t>
      </w:r>
      <w:r w:rsidRPr="00E2521E">
        <w:rPr>
          <w:rFonts w:asciiTheme="minorHAnsi" w:hAnsiTheme="minorHAnsi" w:cstheme="minorHAnsi"/>
          <w:szCs w:val="22"/>
        </w:rPr>
        <w:t xml:space="preserve"> the Commonwealth Government </w:t>
      </w:r>
      <w:r>
        <w:rPr>
          <w:rFonts w:asciiTheme="minorHAnsi" w:hAnsiTheme="minorHAnsi" w:cstheme="minorHAnsi"/>
          <w:szCs w:val="22"/>
        </w:rPr>
        <w:t xml:space="preserve">established the </w:t>
      </w:r>
      <w:r w:rsidRPr="00ED55A5">
        <w:rPr>
          <w:rFonts w:asciiTheme="minorHAnsi" w:hAnsiTheme="minorHAnsi" w:cstheme="minorHAnsi"/>
          <w:szCs w:val="22"/>
        </w:rPr>
        <w:t xml:space="preserve">Royal Commission into Institutional Reponses to Child Sexual Abuse </w:t>
      </w:r>
      <w:r>
        <w:rPr>
          <w:rFonts w:asciiTheme="minorHAnsi" w:hAnsiTheme="minorHAnsi" w:cstheme="minorHAnsi"/>
          <w:szCs w:val="22"/>
        </w:rPr>
        <w:t>(</w:t>
      </w:r>
      <w:r w:rsidRPr="00E2521E">
        <w:rPr>
          <w:rFonts w:asciiTheme="minorHAnsi" w:hAnsiTheme="minorHAnsi" w:cstheme="minorHAnsi"/>
          <w:szCs w:val="22"/>
        </w:rPr>
        <w:t>RCIR</w:t>
      </w:r>
      <w:r>
        <w:rPr>
          <w:rFonts w:asciiTheme="minorHAnsi" w:hAnsiTheme="minorHAnsi" w:cstheme="minorHAnsi"/>
          <w:szCs w:val="22"/>
        </w:rPr>
        <w:t>C</w:t>
      </w:r>
      <w:r w:rsidRPr="00E2521E">
        <w:rPr>
          <w:rFonts w:asciiTheme="minorHAnsi" w:hAnsiTheme="minorHAnsi" w:cstheme="minorHAnsi"/>
          <w:szCs w:val="22"/>
        </w:rPr>
        <w:t>SA</w:t>
      </w:r>
      <w:r>
        <w:rPr>
          <w:rFonts w:asciiTheme="minorHAnsi" w:hAnsiTheme="minorHAnsi" w:cstheme="minorHAnsi"/>
          <w:szCs w:val="22"/>
        </w:rPr>
        <w:t>).</w:t>
      </w:r>
      <w:r w:rsidR="00122FC5">
        <w:rPr>
          <w:rFonts w:asciiTheme="minorHAnsi" w:hAnsiTheme="minorHAnsi" w:cstheme="minorHAnsi"/>
          <w:szCs w:val="22"/>
        </w:rPr>
        <w:t xml:space="preserve"> </w:t>
      </w:r>
      <w:r>
        <w:rPr>
          <w:rFonts w:asciiTheme="minorHAnsi" w:hAnsiTheme="minorHAnsi" w:cstheme="minorHAnsi"/>
          <w:szCs w:val="22"/>
        </w:rPr>
        <w:t>The RCIRCSA</w:t>
      </w:r>
      <w:r w:rsidRPr="00E2521E">
        <w:rPr>
          <w:rFonts w:asciiTheme="minorHAnsi" w:hAnsiTheme="minorHAnsi" w:cstheme="minorHAnsi"/>
          <w:szCs w:val="22"/>
        </w:rPr>
        <w:t xml:space="preserve"> inquire</w:t>
      </w:r>
      <w:r>
        <w:rPr>
          <w:rFonts w:asciiTheme="minorHAnsi" w:hAnsiTheme="minorHAnsi" w:cstheme="minorHAnsi"/>
          <w:szCs w:val="22"/>
        </w:rPr>
        <w:t>d</w:t>
      </w:r>
      <w:r w:rsidRPr="00E2521E">
        <w:rPr>
          <w:rFonts w:asciiTheme="minorHAnsi" w:hAnsiTheme="minorHAnsi" w:cstheme="minorHAnsi"/>
          <w:szCs w:val="22"/>
        </w:rPr>
        <w:t xml:space="preserve"> into how institutions </w:t>
      </w:r>
      <w:r>
        <w:rPr>
          <w:rFonts w:asciiTheme="minorHAnsi" w:hAnsiTheme="minorHAnsi" w:cstheme="minorHAnsi"/>
          <w:szCs w:val="22"/>
        </w:rPr>
        <w:t xml:space="preserve">such as </w:t>
      </w:r>
      <w:r w:rsidRPr="00E2521E">
        <w:rPr>
          <w:rFonts w:asciiTheme="minorHAnsi" w:hAnsiTheme="minorHAnsi" w:cstheme="minorHAnsi"/>
          <w:szCs w:val="22"/>
        </w:rPr>
        <w:t xml:space="preserve">schools, churches, sports clubs and government organisations have responded to allegations and instances of child sexual abuse. </w:t>
      </w:r>
    </w:p>
    <w:p w:rsidR="006621A8" w:rsidRPr="00E2521E" w:rsidRDefault="006621A8" w:rsidP="00122FC5">
      <w:pPr>
        <w:pStyle w:val="Bulletpoints"/>
        <w:numPr>
          <w:ilvl w:val="0"/>
          <w:numId w:val="10"/>
        </w:numPr>
        <w:ind w:left="567" w:hanging="567"/>
        <w:rPr>
          <w:rFonts w:asciiTheme="minorHAnsi" w:hAnsiTheme="minorHAnsi" w:cstheme="minorHAnsi"/>
          <w:szCs w:val="22"/>
          <w:lang w:eastAsia="en-AU"/>
        </w:rPr>
      </w:pPr>
      <w:r w:rsidRPr="00E2521E">
        <w:rPr>
          <w:rFonts w:asciiTheme="minorHAnsi" w:hAnsiTheme="minorHAnsi" w:cstheme="minorHAnsi"/>
          <w:szCs w:val="22"/>
        </w:rPr>
        <w:t>On 14 September 2015, the RCIRCSA released its Report on Redress and Civil Litigation</w:t>
      </w:r>
      <w:r>
        <w:rPr>
          <w:rFonts w:asciiTheme="minorHAnsi" w:hAnsiTheme="minorHAnsi" w:cstheme="minorHAnsi"/>
          <w:szCs w:val="22"/>
        </w:rPr>
        <w:t xml:space="preserve"> relating to allegations and instances of child sexual abuse</w:t>
      </w:r>
      <w:r w:rsidRPr="00E2521E">
        <w:rPr>
          <w:rFonts w:asciiTheme="minorHAnsi" w:hAnsiTheme="minorHAnsi" w:cstheme="minorHAnsi"/>
          <w:szCs w:val="22"/>
        </w:rPr>
        <w:t xml:space="preserve">. </w:t>
      </w:r>
      <w:r>
        <w:rPr>
          <w:rFonts w:asciiTheme="minorHAnsi" w:hAnsiTheme="minorHAnsi" w:cstheme="minorHAnsi"/>
          <w:szCs w:val="22"/>
        </w:rPr>
        <w:t xml:space="preserve">The RCIRCSA found that victims of sexual abuse were not able to easily seek damages from institutions that had cared for the victims as children and sexual abuse was perpetrated through the institutions.  </w:t>
      </w:r>
      <w:r w:rsidRPr="00E2521E">
        <w:rPr>
          <w:rFonts w:asciiTheme="minorHAnsi" w:hAnsiTheme="minorHAnsi" w:cstheme="minorHAnsi"/>
          <w:szCs w:val="22"/>
        </w:rPr>
        <w:t>Th</w:t>
      </w:r>
      <w:r>
        <w:rPr>
          <w:rFonts w:asciiTheme="minorHAnsi" w:hAnsiTheme="minorHAnsi" w:cstheme="minorHAnsi"/>
          <w:szCs w:val="22"/>
        </w:rPr>
        <w:t>e</w:t>
      </w:r>
      <w:r w:rsidRPr="00E2521E">
        <w:rPr>
          <w:rFonts w:asciiTheme="minorHAnsi" w:hAnsiTheme="minorHAnsi" w:cstheme="minorHAnsi"/>
          <w:szCs w:val="22"/>
        </w:rPr>
        <w:t xml:space="preserve"> Report </w:t>
      </w:r>
      <w:r w:rsidR="00122FC5" w:rsidRPr="00E2521E">
        <w:rPr>
          <w:rFonts w:asciiTheme="minorHAnsi" w:hAnsiTheme="minorHAnsi" w:cstheme="minorHAnsi"/>
          <w:szCs w:val="22"/>
        </w:rPr>
        <w:t>on Redress and Civil Litigation</w:t>
      </w:r>
      <w:r w:rsidR="00122FC5">
        <w:rPr>
          <w:rFonts w:asciiTheme="minorHAnsi" w:hAnsiTheme="minorHAnsi" w:cstheme="minorHAnsi"/>
          <w:szCs w:val="22"/>
        </w:rPr>
        <w:t xml:space="preserve"> made 99 </w:t>
      </w:r>
      <w:r w:rsidRPr="00E2521E">
        <w:rPr>
          <w:rFonts w:asciiTheme="minorHAnsi" w:hAnsiTheme="minorHAnsi" w:cstheme="minorHAnsi"/>
          <w:szCs w:val="22"/>
        </w:rPr>
        <w:t xml:space="preserve">recommendations for reforms to the civil law to make it easier for victims of sexual abuse </w:t>
      </w:r>
      <w:r>
        <w:rPr>
          <w:rFonts w:asciiTheme="minorHAnsi" w:hAnsiTheme="minorHAnsi" w:cstheme="minorHAnsi"/>
          <w:szCs w:val="22"/>
        </w:rPr>
        <w:t>where the sexual abuse occurred in an institution</w:t>
      </w:r>
      <w:r w:rsidRPr="00E2521E">
        <w:rPr>
          <w:rFonts w:asciiTheme="minorHAnsi" w:hAnsiTheme="minorHAnsi" w:cstheme="minorHAnsi"/>
          <w:szCs w:val="22"/>
        </w:rPr>
        <w:t xml:space="preserve"> to sue for damages.</w:t>
      </w:r>
    </w:p>
    <w:p w:rsidR="006621A8" w:rsidRDefault="006621A8" w:rsidP="00122FC5">
      <w:pPr>
        <w:pStyle w:val="Bulletpoints"/>
        <w:numPr>
          <w:ilvl w:val="0"/>
          <w:numId w:val="10"/>
        </w:numPr>
        <w:ind w:left="567" w:hanging="567"/>
        <w:rPr>
          <w:rFonts w:asciiTheme="minorHAnsi" w:hAnsiTheme="minorHAnsi" w:cstheme="minorHAnsi"/>
          <w:szCs w:val="22"/>
          <w:lang w:eastAsia="en-AU"/>
        </w:rPr>
      </w:pPr>
      <w:r w:rsidRPr="00E2521E">
        <w:rPr>
          <w:rFonts w:asciiTheme="minorHAnsi" w:hAnsiTheme="minorHAnsi" w:cstheme="minorHAnsi"/>
          <w:szCs w:val="22"/>
        </w:rPr>
        <w:t xml:space="preserve">The Northern Territory Government passed legislation to implement a number of recommendations in </w:t>
      </w:r>
      <w:r>
        <w:rPr>
          <w:rFonts w:asciiTheme="minorHAnsi" w:hAnsiTheme="minorHAnsi" w:cstheme="minorHAnsi"/>
          <w:szCs w:val="22"/>
        </w:rPr>
        <w:t xml:space="preserve">the </w:t>
      </w:r>
      <w:r w:rsidRPr="00E2521E">
        <w:rPr>
          <w:rFonts w:asciiTheme="minorHAnsi" w:hAnsiTheme="minorHAnsi" w:cstheme="minorHAnsi"/>
          <w:szCs w:val="22"/>
        </w:rPr>
        <w:t>R</w:t>
      </w:r>
      <w:r>
        <w:rPr>
          <w:rFonts w:asciiTheme="minorHAnsi" w:hAnsiTheme="minorHAnsi" w:cstheme="minorHAnsi"/>
          <w:szCs w:val="22"/>
        </w:rPr>
        <w:t>eport on</w:t>
      </w:r>
      <w:r w:rsidRPr="00E2521E">
        <w:rPr>
          <w:rFonts w:asciiTheme="minorHAnsi" w:hAnsiTheme="minorHAnsi" w:cstheme="minorHAnsi"/>
          <w:szCs w:val="22"/>
        </w:rPr>
        <w:t xml:space="preserve"> Redress and Civil Litigation. The </w:t>
      </w:r>
      <w:r w:rsidRPr="00E2521E">
        <w:rPr>
          <w:rFonts w:asciiTheme="minorHAnsi" w:hAnsiTheme="minorHAnsi" w:cstheme="minorHAnsi"/>
          <w:i/>
          <w:szCs w:val="22"/>
        </w:rPr>
        <w:t>Personal Injuries (Liabilities and Damages) Amendment Act 2022</w:t>
      </w:r>
      <w:r w:rsidRPr="00E2521E">
        <w:rPr>
          <w:rFonts w:asciiTheme="minorHAnsi" w:hAnsiTheme="minorHAnsi" w:cstheme="minorHAnsi"/>
          <w:szCs w:val="22"/>
        </w:rPr>
        <w:t xml:space="preserve"> (the Amendment Act) was passed in the Northern Territory Legislative Assembly on 19 May 2022 and received assent on 2 June 2022.</w:t>
      </w:r>
    </w:p>
    <w:p w:rsidR="006621A8" w:rsidRPr="00B52E1D" w:rsidRDefault="006621A8" w:rsidP="00122FC5">
      <w:pPr>
        <w:pStyle w:val="Bulletpoints"/>
        <w:numPr>
          <w:ilvl w:val="0"/>
          <w:numId w:val="10"/>
        </w:numPr>
        <w:ind w:left="567" w:hanging="567"/>
        <w:rPr>
          <w:rFonts w:asciiTheme="minorHAnsi" w:hAnsiTheme="minorHAnsi" w:cstheme="minorHAnsi"/>
          <w:szCs w:val="22"/>
          <w:lang w:eastAsia="en-AU"/>
        </w:rPr>
      </w:pPr>
      <w:r w:rsidRPr="00E2521E">
        <w:rPr>
          <w:rFonts w:asciiTheme="minorHAnsi" w:hAnsiTheme="minorHAnsi" w:cstheme="minorHAnsi"/>
          <w:szCs w:val="22"/>
        </w:rPr>
        <w:t xml:space="preserve">The Amendment Act inserts a new Part 3A into the </w:t>
      </w:r>
      <w:r w:rsidRPr="00E2521E">
        <w:rPr>
          <w:rFonts w:asciiTheme="minorHAnsi" w:hAnsiTheme="minorHAnsi" w:cstheme="minorHAnsi"/>
          <w:i/>
          <w:szCs w:val="22"/>
        </w:rPr>
        <w:t xml:space="preserve">Personal Injuries (Liabilities and Damages) Act 2003 </w:t>
      </w:r>
      <w:r w:rsidRPr="00E2521E">
        <w:rPr>
          <w:rFonts w:asciiTheme="minorHAnsi" w:hAnsiTheme="minorHAnsi" w:cstheme="minorHAnsi"/>
          <w:szCs w:val="22"/>
        </w:rPr>
        <w:t xml:space="preserve">(PILDA) which </w:t>
      </w:r>
      <w:r>
        <w:rPr>
          <w:rFonts w:asciiTheme="minorHAnsi" w:hAnsiTheme="minorHAnsi" w:cstheme="minorHAnsi"/>
          <w:szCs w:val="22"/>
        </w:rPr>
        <w:t>provides for</w:t>
      </w:r>
      <w:r w:rsidRPr="00E2521E">
        <w:rPr>
          <w:rFonts w:asciiTheme="minorHAnsi" w:hAnsiTheme="minorHAnsi" w:cstheme="minorHAnsi"/>
          <w:szCs w:val="22"/>
        </w:rPr>
        <w:t xml:space="preserve"> institutional liability for child abuse</w:t>
      </w:r>
      <w:r>
        <w:rPr>
          <w:rFonts w:asciiTheme="minorHAnsi" w:hAnsiTheme="minorHAnsi" w:cstheme="minorHAnsi"/>
          <w:szCs w:val="22"/>
        </w:rPr>
        <w:t>.</w:t>
      </w:r>
      <w:r>
        <w:rPr>
          <w:rFonts w:asciiTheme="minorHAnsi" w:hAnsiTheme="minorHAnsi" w:cstheme="minorHAnsi"/>
          <w:szCs w:val="22"/>
          <w:lang w:eastAsia="en-AU"/>
        </w:rPr>
        <w:t xml:space="preserve"> Divisions 4, 5 and 6 of </w:t>
      </w:r>
      <w:r w:rsidR="00122FC5">
        <w:rPr>
          <w:rFonts w:asciiTheme="minorHAnsi" w:hAnsiTheme="minorHAnsi" w:cstheme="minorHAnsi"/>
          <w:szCs w:val="22"/>
          <w:lang w:eastAsia="en-AU"/>
        </w:rPr>
        <w:t xml:space="preserve">new </w:t>
      </w:r>
      <w:r>
        <w:rPr>
          <w:rFonts w:asciiTheme="minorHAnsi" w:hAnsiTheme="minorHAnsi" w:cstheme="minorHAnsi"/>
          <w:szCs w:val="22"/>
          <w:lang w:eastAsia="en-AU"/>
        </w:rPr>
        <w:t xml:space="preserve">Part 3A </w:t>
      </w:r>
      <w:r w:rsidR="00122FC5">
        <w:rPr>
          <w:rFonts w:asciiTheme="minorHAnsi" w:hAnsiTheme="minorHAnsi" w:cstheme="minorHAnsi"/>
          <w:szCs w:val="22"/>
          <w:lang w:eastAsia="en-AU"/>
        </w:rPr>
        <w:t xml:space="preserve">are </w:t>
      </w:r>
      <w:r w:rsidRPr="00B52E1D">
        <w:rPr>
          <w:rFonts w:asciiTheme="minorHAnsi" w:hAnsiTheme="minorHAnsi" w:cstheme="minorHAnsi"/>
          <w:szCs w:val="22"/>
        </w:rPr>
        <w:t>designed to address certain legal loopholes which have historically</w:t>
      </w:r>
      <w:r>
        <w:rPr>
          <w:rFonts w:asciiTheme="minorHAnsi" w:hAnsiTheme="minorHAnsi" w:cstheme="minorHAnsi"/>
          <w:szCs w:val="22"/>
        </w:rPr>
        <w:t xml:space="preserve"> prevented litigation. This includes, for example,</w:t>
      </w:r>
      <w:r w:rsidRPr="00B52E1D">
        <w:rPr>
          <w:rFonts w:asciiTheme="minorHAnsi" w:hAnsiTheme="minorHAnsi" w:cstheme="minorHAnsi"/>
          <w:szCs w:val="22"/>
        </w:rPr>
        <w:t xml:space="preserve"> unincorporated bodies </w:t>
      </w:r>
      <w:r>
        <w:rPr>
          <w:rFonts w:asciiTheme="minorHAnsi" w:hAnsiTheme="minorHAnsi" w:cstheme="minorHAnsi"/>
          <w:szCs w:val="22"/>
        </w:rPr>
        <w:t xml:space="preserve">not being able to be sued </w:t>
      </w:r>
      <w:r w:rsidRPr="00B52E1D">
        <w:rPr>
          <w:rFonts w:asciiTheme="minorHAnsi" w:hAnsiTheme="minorHAnsi" w:cstheme="minorHAnsi"/>
          <w:szCs w:val="22"/>
        </w:rPr>
        <w:t xml:space="preserve">and historical institutions no longer existing at the time </w:t>
      </w:r>
      <w:r>
        <w:rPr>
          <w:rFonts w:asciiTheme="minorHAnsi" w:hAnsiTheme="minorHAnsi" w:cstheme="minorHAnsi"/>
          <w:szCs w:val="22"/>
        </w:rPr>
        <w:t xml:space="preserve">of </w:t>
      </w:r>
      <w:r w:rsidRPr="00B52E1D">
        <w:rPr>
          <w:rFonts w:asciiTheme="minorHAnsi" w:hAnsiTheme="minorHAnsi" w:cstheme="minorHAnsi"/>
          <w:szCs w:val="22"/>
        </w:rPr>
        <w:t>litigation due to a change of name or corporate structure.</w:t>
      </w:r>
    </w:p>
    <w:p w:rsidR="006621A8" w:rsidRPr="003827D7" w:rsidRDefault="006621A8" w:rsidP="00122FC5">
      <w:pPr>
        <w:pStyle w:val="Bulletpoints"/>
        <w:numPr>
          <w:ilvl w:val="0"/>
          <w:numId w:val="10"/>
        </w:numPr>
        <w:ind w:left="567" w:hanging="567"/>
        <w:rPr>
          <w:rFonts w:asciiTheme="minorHAnsi" w:hAnsiTheme="minorHAnsi" w:cstheme="minorHAnsi"/>
        </w:rPr>
      </w:pPr>
      <w:r w:rsidRPr="00C132C0">
        <w:rPr>
          <w:rFonts w:asciiTheme="minorHAnsi" w:hAnsiTheme="minorHAnsi" w:cstheme="minorHAnsi"/>
        </w:rPr>
        <w:lastRenderedPageBreak/>
        <w:t xml:space="preserve">RCIRCSA found that while a survivor may also have the option of claiming directly against the perpetrator, that person may have no, or insufficient, assets to meet </w:t>
      </w:r>
      <w:r>
        <w:rPr>
          <w:rFonts w:asciiTheme="minorHAnsi" w:hAnsiTheme="minorHAnsi" w:cstheme="minorHAnsi"/>
        </w:rPr>
        <w:t>the</w:t>
      </w:r>
      <w:r w:rsidRPr="00C132C0">
        <w:rPr>
          <w:rFonts w:asciiTheme="minorHAnsi" w:hAnsiTheme="minorHAnsi" w:cstheme="minorHAnsi"/>
        </w:rPr>
        <w:t xml:space="preserve"> claim</w:t>
      </w:r>
      <w:r>
        <w:rPr>
          <w:rFonts w:asciiTheme="minorHAnsi" w:hAnsiTheme="minorHAnsi" w:cstheme="minorHAnsi"/>
        </w:rPr>
        <w:t>. This means that survivors may try to sue the institution, which has more assets. P</w:t>
      </w:r>
      <w:r w:rsidRPr="00C132C0">
        <w:rPr>
          <w:rFonts w:asciiTheme="minorHAnsi" w:hAnsiTheme="minorHAnsi" w:cstheme="minorHAnsi"/>
        </w:rPr>
        <w:t>articularly in the case of religious institutions, assets are generally held in a property trust</w:t>
      </w:r>
      <w:r>
        <w:rPr>
          <w:rFonts w:asciiTheme="minorHAnsi" w:hAnsiTheme="minorHAnsi" w:cstheme="minorHAnsi"/>
        </w:rPr>
        <w:t>. The courts have upheld that property trusts cannot</w:t>
      </w:r>
      <w:r w:rsidRPr="00C132C0">
        <w:rPr>
          <w:rFonts w:asciiTheme="minorHAnsi" w:hAnsiTheme="minorHAnsi" w:cstheme="minorHAnsi"/>
        </w:rPr>
        <w:t xml:space="preserve"> be held liable </w:t>
      </w:r>
      <w:r>
        <w:rPr>
          <w:rFonts w:asciiTheme="minorHAnsi" w:hAnsiTheme="minorHAnsi" w:cstheme="minorHAnsi"/>
        </w:rPr>
        <w:t xml:space="preserve">for child abuse </w:t>
      </w:r>
      <w:r w:rsidRPr="00C132C0">
        <w:rPr>
          <w:rFonts w:asciiTheme="minorHAnsi" w:hAnsiTheme="minorHAnsi" w:cstheme="minorHAnsi"/>
        </w:rPr>
        <w:t xml:space="preserve">as they </w:t>
      </w:r>
      <w:r>
        <w:rPr>
          <w:rFonts w:asciiTheme="minorHAnsi" w:hAnsiTheme="minorHAnsi" w:cstheme="minorHAnsi"/>
        </w:rPr>
        <w:t>are</w:t>
      </w:r>
      <w:r w:rsidRPr="00C132C0">
        <w:rPr>
          <w:rFonts w:asciiTheme="minorHAnsi" w:hAnsiTheme="minorHAnsi" w:cstheme="minorHAnsi"/>
        </w:rPr>
        <w:t xml:space="preserve"> not </w:t>
      </w:r>
      <w:r>
        <w:rPr>
          <w:rFonts w:asciiTheme="minorHAnsi" w:hAnsiTheme="minorHAnsi" w:cstheme="minorHAnsi"/>
        </w:rPr>
        <w:t xml:space="preserve">closely enough </w:t>
      </w:r>
      <w:r w:rsidRPr="00C132C0">
        <w:rPr>
          <w:rFonts w:asciiTheme="minorHAnsi" w:hAnsiTheme="minorHAnsi" w:cstheme="minorHAnsi"/>
        </w:rPr>
        <w:t>associated with the management or oversight</w:t>
      </w:r>
      <w:r>
        <w:rPr>
          <w:rFonts w:asciiTheme="minorHAnsi" w:hAnsiTheme="minorHAnsi" w:cstheme="minorHAnsi"/>
        </w:rPr>
        <w:t xml:space="preserve"> of the institution.</w:t>
      </w:r>
      <w:r w:rsidRPr="00C132C0">
        <w:rPr>
          <w:rFonts w:asciiTheme="minorHAnsi" w:hAnsiTheme="minorHAnsi" w:cstheme="minorHAnsi"/>
        </w:rPr>
        <w:t xml:space="preserve"> </w:t>
      </w:r>
      <w:r>
        <w:rPr>
          <w:rFonts w:asciiTheme="minorHAnsi" w:hAnsiTheme="minorHAnsi" w:cstheme="minorHAnsi"/>
        </w:rPr>
        <w:t xml:space="preserve">In addition, some institutions (particularly religious institutions) are unincorporated, so are unable to be sued. </w:t>
      </w:r>
    </w:p>
    <w:p w:rsidR="006621A8" w:rsidRPr="00206914" w:rsidRDefault="006621A8" w:rsidP="006621A8">
      <w:pPr>
        <w:pStyle w:val="Heading1"/>
      </w:pPr>
      <w:r>
        <w:t xml:space="preserve">What changes are being made to institutional child abuse </w:t>
      </w:r>
      <w:r w:rsidRPr="00206914">
        <w:t xml:space="preserve">proceedings? </w:t>
      </w:r>
    </w:p>
    <w:p w:rsidR="00C120DC" w:rsidRPr="00206914" w:rsidRDefault="006621A8" w:rsidP="00122FC5">
      <w:pPr>
        <w:pStyle w:val="Bulletpoints"/>
        <w:numPr>
          <w:ilvl w:val="0"/>
          <w:numId w:val="12"/>
        </w:numPr>
        <w:ind w:left="567" w:hanging="567"/>
        <w:rPr>
          <w:rFonts w:cstheme="minorHAnsi"/>
        </w:rPr>
      </w:pPr>
      <w:r w:rsidRPr="00206914">
        <w:rPr>
          <w:rFonts w:asciiTheme="minorHAnsi" w:hAnsiTheme="minorHAnsi" w:cstheme="minorHAnsi"/>
          <w:szCs w:val="22"/>
        </w:rPr>
        <w:t xml:space="preserve">A new </w:t>
      </w:r>
      <w:r w:rsidRPr="00206914">
        <w:rPr>
          <w:rFonts w:asciiTheme="minorHAnsi" w:hAnsiTheme="minorHAnsi" w:cstheme="minorHAnsi"/>
          <w:lang w:eastAsia="en-AU"/>
        </w:rPr>
        <w:t xml:space="preserve">statutory framework </w:t>
      </w:r>
      <w:r w:rsidRPr="00206914">
        <w:rPr>
          <w:rFonts w:asciiTheme="minorHAnsi" w:hAnsiTheme="minorHAnsi" w:cstheme="minorHAnsi"/>
          <w:szCs w:val="22"/>
        </w:rPr>
        <w:t xml:space="preserve">is being established through amendment to </w:t>
      </w:r>
      <w:r w:rsidR="00122FC5">
        <w:rPr>
          <w:rFonts w:asciiTheme="minorHAnsi" w:hAnsiTheme="minorHAnsi" w:cstheme="minorHAnsi"/>
          <w:szCs w:val="22"/>
        </w:rPr>
        <w:t>PILDA</w:t>
      </w:r>
      <w:r w:rsidRPr="00206914">
        <w:rPr>
          <w:rFonts w:asciiTheme="minorHAnsi" w:hAnsiTheme="minorHAnsi" w:cstheme="minorHAnsi"/>
          <w:szCs w:val="22"/>
        </w:rPr>
        <w:t xml:space="preserve">. </w:t>
      </w:r>
      <w:r w:rsidR="00122FC5">
        <w:rPr>
          <w:rFonts w:asciiTheme="minorHAnsi" w:hAnsiTheme="minorHAnsi" w:cstheme="minorHAnsi"/>
          <w:szCs w:val="22"/>
        </w:rPr>
        <w:t>The</w:t>
      </w:r>
      <w:r w:rsidR="00E0433B" w:rsidRPr="00206914">
        <w:rPr>
          <w:rFonts w:asciiTheme="minorHAnsi" w:hAnsiTheme="minorHAnsi" w:cstheme="minorHAnsi"/>
          <w:szCs w:val="22"/>
        </w:rPr>
        <w:t xml:space="preserve"> new Part 3A is being inserted which includes Division 4 providing for nomination of a proper respondent</w:t>
      </w:r>
      <w:r w:rsidR="00831ACB" w:rsidRPr="00206914">
        <w:rPr>
          <w:rFonts w:asciiTheme="minorHAnsi" w:hAnsiTheme="minorHAnsi" w:cstheme="minorHAnsi"/>
          <w:szCs w:val="22"/>
        </w:rPr>
        <w:t xml:space="preserve">, </w:t>
      </w:r>
      <w:r w:rsidR="00E0433B" w:rsidRPr="00206914">
        <w:rPr>
          <w:rFonts w:asciiTheme="minorHAnsi" w:hAnsiTheme="minorHAnsi" w:cstheme="minorHAnsi"/>
          <w:szCs w:val="22"/>
        </w:rPr>
        <w:t>Division 5 providing for continuity of institutions</w:t>
      </w:r>
      <w:r w:rsidR="00122FC5">
        <w:rPr>
          <w:rFonts w:asciiTheme="minorHAnsi" w:hAnsiTheme="minorHAnsi" w:cstheme="minorHAnsi"/>
          <w:szCs w:val="22"/>
        </w:rPr>
        <w:t>,</w:t>
      </w:r>
      <w:r w:rsidR="00831ACB" w:rsidRPr="00206914">
        <w:rPr>
          <w:rFonts w:asciiTheme="minorHAnsi" w:hAnsiTheme="minorHAnsi" w:cstheme="minorHAnsi"/>
          <w:szCs w:val="22"/>
        </w:rPr>
        <w:t xml:space="preserve"> and Division 6 relating to proceedings for unincorporated institutions</w:t>
      </w:r>
      <w:r w:rsidR="00E0433B" w:rsidRPr="00206914">
        <w:rPr>
          <w:rFonts w:asciiTheme="minorHAnsi" w:hAnsiTheme="minorHAnsi" w:cstheme="minorHAnsi"/>
          <w:szCs w:val="22"/>
        </w:rPr>
        <w:t xml:space="preserve">. </w:t>
      </w:r>
    </w:p>
    <w:p w:rsidR="00C120DC" w:rsidRPr="00206914" w:rsidRDefault="00C120DC" w:rsidP="00122FC5">
      <w:pPr>
        <w:pStyle w:val="Bulletpoints"/>
        <w:numPr>
          <w:ilvl w:val="0"/>
          <w:numId w:val="12"/>
        </w:numPr>
        <w:ind w:left="567" w:hanging="567"/>
        <w:rPr>
          <w:rFonts w:cstheme="minorHAnsi"/>
        </w:rPr>
      </w:pPr>
      <w:r>
        <w:rPr>
          <w:rFonts w:cstheme="minorHAnsi"/>
        </w:rPr>
        <w:t>New Division 4 will allow an institution that is a respondent in proceedings for personal injury arising from child abuse to nominate another person or entity as the proper respondent for the proceedings.</w:t>
      </w:r>
    </w:p>
    <w:p w:rsidR="006621A8" w:rsidRDefault="006621A8" w:rsidP="00122FC5">
      <w:pPr>
        <w:pStyle w:val="Bulletpoints"/>
        <w:numPr>
          <w:ilvl w:val="0"/>
          <w:numId w:val="12"/>
        </w:numPr>
        <w:ind w:left="567" w:hanging="567"/>
        <w:rPr>
          <w:rFonts w:cstheme="minorHAnsi"/>
        </w:rPr>
      </w:pPr>
      <w:r>
        <w:rPr>
          <w:rFonts w:asciiTheme="minorHAnsi" w:hAnsiTheme="minorHAnsi" w:cstheme="minorHAnsi"/>
          <w:szCs w:val="22"/>
        </w:rPr>
        <w:t xml:space="preserve">This will allow an associated property trust of an institution to be nominated to meet liabilities arising from child abuse proceedings. </w:t>
      </w:r>
    </w:p>
    <w:p w:rsidR="006621A8" w:rsidRDefault="00C120DC" w:rsidP="00122FC5">
      <w:pPr>
        <w:pStyle w:val="Bulletpoints"/>
        <w:numPr>
          <w:ilvl w:val="0"/>
          <w:numId w:val="12"/>
        </w:numPr>
        <w:ind w:left="567" w:hanging="567"/>
        <w:rPr>
          <w:rFonts w:asciiTheme="minorHAnsi" w:hAnsiTheme="minorHAnsi" w:cstheme="minorHAnsi"/>
          <w:szCs w:val="22"/>
        </w:rPr>
      </w:pPr>
      <w:r>
        <w:rPr>
          <w:rFonts w:asciiTheme="minorHAnsi" w:hAnsiTheme="minorHAnsi" w:cstheme="minorHAnsi"/>
          <w:szCs w:val="22"/>
        </w:rPr>
        <w:t xml:space="preserve">New Division 5 will allow for recognition of current institutions as a successor for institutions which </w:t>
      </w:r>
      <w:r w:rsidR="00D63B85">
        <w:rPr>
          <w:rFonts w:asciiTheme="minorHAnsi" w:hAnsiTheme="minorHAnsi" w:cstheme="minorHAnsi"/>
          <w:szCs w:val="22"/>
        </w:rPr>
        <w:t>have changed legal status over time.</w:t>
      </w:r>
      <w:r w:rsidR="00206914">
        <w:rPr>
          <w:rFonts w:asciiTheme="minorHAnsi" w:hAnsiTheme="minorHAnsi" w:cstheme="minorHAnsi"/>
          <w:szCs w:val="22"/>
        </w:rPr>
        <w:t xml:space="preserve"> </w:t>
      </w:r>
      <w:r w:rsidR="00E0433B">
        <w:rPr>
          <w:rFonts w:asciiTheme="minorHAnsi" w:hAnsiTheme="minorHAnsi" w:cstheme="minorHAnsi"/>
          <w:szCs w:val="22"/>
        </w:rPr>
        <w:t>This means that a</w:t>
      </w:r>
      <w:r w:rsidR="006621A8" w:rsidRPr="00F75E46">
        <w:rPr>
          <w:rFonts w:asciiTheme="minorHAnsi" w:hAnsiTheme="minorHAnsi" w:cstheme="minorHAnsi"/>
          <w:szCs w:val="22"/>
        </w:rPr>
        <w:t xml:space="preserve"> current institution </w:t>
      </w:r>
      <w:r w:rsidR="006621A8">
        <w:rPr>
          <w:rFonts w:asciiTheme="minorHAnsi" w:hAnsiTheme="minorHAnsi" w:cstheme="minorHAnsi"/>
          <w:szCs w:val="22"/>
        </w:rPr>
        <w:t>will</w:t>
      </w:r>
      <w:r w:rsidR="006621A8" w:rsidRPr="00F75E46">
        <w:rPr>
          <w:rFonts w:asciiTheme="minorHAnsi" w:hAnsiTheme="minorHAnsi" w:cstheme="minorHAnsi"/>
          <w:szCs w:val="22"/>
        </w:rPr>
        <w:t xml:space="preserve"> be</w:t>
      </w:r>
      <w:r w:rsidR="00E0433B">
        <w:rPr>
          <w:rFonts w:asciiTheme="minorHAnsi" w:hAnsiTheme="minorHAnsi" w:cstheme="minorHAnsi"/>
          <w:szCs w:val="22"/>
        </w:rPr>
        <w:t xml:space="preserve"> held</w:t>
      </w:r>
      <w:r w:rsidR="006621A8" w:rsidRPr="00F75E46">
        <w:rPr>
          <w:rFonts w:asciiTheme="minorHAnsi" w:hAnsiTheme="minorHAnsi" w:cstheme="minorHAnsi"/>
          <w:szCs w:val="22"/>
        </w:rPr>
        <w:t xml:space="preserve"> </w:t>
      </w:r>
      <w:r w:rsidR="006621A8">
        <w:rPr>
          <w:rFonts w:asciiTheme="minorHAnsi" w:hAnsiTheme="minorHAnsi" w:cstheme="minorHAnsi"/>
        </w:rPr>
        <w:t>responsible for</w:t>
      </w:r>
      <w:r w:rsidR="00122FC5">
        <w:rPr>
          <w:rFonts w:asciiTheme="minorHAnsi" w:hAnsiTheme="minorHAnsi" w:cstheme="minorHAnsi"/>
        </w:rPr>
        <w:t> </w:t>
      </w:r>
      <w:r w:rsidR="006621A8">
        <w:rPr>
          <w:rFonts w:asciiTheme="minorHAnsi" w:hAnsiTheme="minorHAnsi" w:cstheme="minorHAnsi"/>
        </w:rPr>
        <w:t>/</w:t>
      </w:r>
      <w:r w:rsidR="00122FC5">
        <w:rPr>
          <w:rFonts w:asciiTheme="minorHAnsi" w:hAnsiTheme="minorHAnsi" w:cstheme="minorHAnsi"/>
        </w:rPr>
        <w:t> </w:t>
      </w:r>
      <w:r w:rsidR="00E0433B">
        <w:rPr>
          <w:rFonts w:asciiTheme="minorHAnsi" w:hAnsiTheme="minorHAnsi" w:cstheme="minorHAnsi"/>
        </w:rPr>
        <w:t>considered to be</w:t>
      </w:r>
      <w:r w:rsidR="006621A8">
        <w:rPr>
          <w:rFonts w:asciiTheme="minorHAnsi" w:hAnsiTheme="minorHAnsi" w:cstheme="minorHAnsi"/>
        </w:rPr>
        <w:t xml:space="preserve"> </w:t>
      </w:r>
      <w:r w:rsidR="006621A8" w:rsidRPr="00F75E46">
        <w:rPr>
          <w:rFonts w:asciiTheme="minorHAnsi" w:hAnsiTheme="minorHAnsi" w:cstheme="minorHAnsi"/>
          <w:szCs w:val="22"/>
        </w:rPr>
        <w:t xml:space="preserve">a former institution if it is substantially the same body as when the </w:t>
      </w:r>
      <w:r w:rsidR="006621A8">
        <w:rPr>
          <w:rFonts w:asciiTheme="minorHAnsi" w:hAnsiTheme="minorHAnsi" w:cstheme="minorHAnsi"/>
          <w:szCs w:val="22"/>
        </w:rPr>
        <w:t>abuse</w:t>
      </w:r>
      <w:r w:rsidR="006621A8" w:rsidRPr="00F75E46">
        <w:rPr>
          <w:rFonts w:asciiTheme="minorHAnsi" w:hAnsiTheme="minorHAnsi" w:cstheme="minorHAnsi"/>
          <w:szCs w:val="22"/>
        </w:rPr>
        <w:t xml:space="preserve"> </w:t>
      </w:r>
      <w:r w:rsidR="006621A8">
        <w:rPr>
          <w:rFonts w:asciiTheme="minorHAnsi" w:hAnsiTheme="minorHAnsi" w:cstheme="minorHAnsi"/>
          <w:szCs w:val="22"/>
        </w:rPr>
        <w:t>occurred</w:t>
      </w:r>
      <w:r w:rsidR="006621A8" w:rsidRPr="00F75E46">
        <w:rPr>
          <w:rFonts w:asciiTheme="minorHAnsi" w:hAnsiTheme="minorHAnsi" w:cstheme="minorHAnsi"/>
          <w:szCs w:val="22"/>
        </w:rPr>
        <w:t xml:space="preserve">. This </w:t>
      </w:r>
      <w:r w:rsidR="006621A8">
        <w:rPr>
          <w:rFonts w:asciiTheme="minorHAnsi" w:hAnsiTheme="minorHAnsi" w:cstheme="minorHAnsi"/>
          <w:szCs w:val="22"/>
        </w:rPr>
        <w:t xml:space="preserve">applies </w:t>
      </w:r>
      <w:r w:rsidR="006621A8" w:rsidRPr="00F75E46">
        <w:rPr>
          <w:rFonts w:asciiTheme="minorHAnsi" w:hAnsiTheme="minorHAnsi" w:cstheme="minorHAnsi"/>
          <w:szCs w:val="22"/>
        </w:rPr>
        <w:t>even if the institution has changed its name, restructured, become incorporated, or its functions or activities are carried out at a different place</w:t>
      </w:r>
      <w:r w:rsidR="006621A8">
        <w:rPr>
          <w:rFonts w:asciiTheme="minorHAnsi" w:hAnsiTheme="minorHAnsi" w:cstheme="minorHAnsi"/>
          <w:szCs w:val="22"/>
        </w:rPr>
        <w:t>.</w:t>
      </w:r>
    </w:p>
    <w:p w:rsidR="00831ACB" w:rsidRPr="009E0AED" w:rsidRDefault="00831ACB" w:rsidP="00122FC5">
      <w:pPr>
        <w:pStyle w:val="Bulletpoints"/>
        <w:numPr>
          <w:ilvl w:val="0"/>
          <w:numId w:val="12"/>
        </w:numPr>
        <w:ind w:left="567" w:hanging="567"/>
        <w:rPr>
          <w:rFonts w:asciiTheme="minorHAnsi" w:hAnsiTheme="minorHAnsi" w:cstheme="minorHAnsi"/>
          <w:szCs w:val="22"/>
        </w:rPr>
      </w:pPr>
      <w:r>
        <w:rPr>
          <w:rFonts w:asciiTheme="minorHAnsi" w:hAnsiTheme="minorHAnsi" w:cstheme="minorHAnsi"/>
          <w:szCs w:val="22"/>
        </w:rPr>
        <w:t xml:space="preserve">New Division 6 will also </w:t>
      </w:r>
      <w:r w:rsidRPr="00F75E46">
        <w:rPr>
          <w:rFonts w:asciiTheme="minorHAnsi" w:hAnsiTheme="minorHAnsi" w:cstheme="minorHAnsi"/>
          <w:szCs w:val="22"/>
        </w:rPr>
        <w:t>allow child abuse proceedings to be brought against unincorporated institutions</w:t>
      </w:r>
      <w:r>
        <w:rPr>
          <w:rFonts w:asciiTheme="minorHAnsi" w:hAnsiTheme="minorHAnsi" w:cstheme="minorHAnsi"/>
          <w:szCs w:val="22"/>
        </w:rPr>
        <w:t xml:space="preserve">. This means that </w:t>
      </w:r>
      <w:r w:rsidR="00277F61">
        <w:rPr>
          <w:rFonts w:asciiTheme="minorHAnsi" w:hAnsiTheme="minorHAnsi" w:cstheme="minorHAnsi"/>
          <w:szCs w:val="22"/>
        </w:rPr>
        <w:t xml:space="preserve">proceedings may be brought against institutions as if they were a legal person capable of being sued (in the same way incorporated institutions have legal status). </w:t>
      </w:r>
    </w:p>
    <w:p w:rsidR="00BF549D" w:rsidRDefault="00BF549D">
      <w:pPr>
        <w:rPr>
          <w:rFonts w:ascii="Lato Semibold" w:eastAsia="Times New Roman" w:hAnsi="Lato Semibold"/>
          <w:color w:val="1F1F5F"/>
          <w:kern w:val="32"/>
          <w:sz w:val="36"/>
          <w:szCs w:val="32"/>
        </w:rPr>
      </w:pPr>
      <w:r>
        <w:br w:type="page"/>
      </w:r>
    </w:p>
    <w:p w:rsidR="006621A8" w:rsidRPr="00C132C0" w:rsidRDefault="006621A8" w:rsidP="006621A8">
      <w:pPr>
        <w:pStyle w:val="Heading1"/>
      </w:pPr>
      <w:r w:rsidRPr="00C132C0">
        <w:lastRenderedPageBreak/>
        <w:t xml:space="preserve">When will the amendments commence? </w:t>
      </w:r>
    </w:p>
    <w:p w:rsidR="006621A8" w:rsidRDefault="006621A8" w:rsidP="00122FC5">
      <w:pPr>
        <w:pStyle w:val="Bulletpoints"/>
        <w:tabs>
          <w:tab w:val="clear" w:pos="360"/>
        </w:tabs>
        <w:ind w:left="567" w:hanging="567"/>
        <w:rPr>
          <w:rFonts w:asciiTheme="minorHAnsi" w:hAnsiTheme="minorHAnsi" w:cstheme="minorHAnsi"/>
          <w:lang w:eastAsia="en-AU"/>
        </w:rPr>
      </w:pPr>
      <w:r>
        <w:rPr>
          <w:rFonts w:asciiTheme="minorHAnsi" w:hAnsiTheme="minorHAnsi" w:cstheme="minorHAnsi"/>
          <w:szCs w:val="22"/>
        </w:rPr>
        <w:t xml:space="preserve">It is proposed that the provisions will commence on 1 January 2023. This is the proposed date for commencement to be fixed by Gazette notice by the Administrator.  </w:t>
      </w:r>
    </w:p>
    <w:p w:rsidR="006621A8" w:rsidRDefault="006621A8" w:rsidP="00122FC5">
      <w:pPr>
        <w:pStyle w:val="Bulletpoints"/>
        <w:tabs>
          <w:tab w:val="clear" w:pos="360"/>
        </w:tabs>
        <w:ind w:left="567" w:hanging="567"/>
        <w:rPr>
          <w:rFonts w:asciiTheme="minorHAnsi" w:hAnsiTheme="minorHAnsi" w:cstheme="minorHAnsi"/>
          <w:lang w:eastAsia="en-AU"/>
        </w:rPr>
      </w:pPr>
      <w:r>
        <w:rPr>
          <w:rFonts w:asciiTheme="minorHAnsi" w:hAnsiTheme="minorHAnsi" w:cstheme="minorHAnsi"/>
        </w:rPr>
        <w:t xml:space="preserve">The deferred commencement date allows </w:t>
      </w:r>
      <w:r w:rsidRPr="00C132C0">
        <w:rPr>
          <w:rFonts w:asciiTheme="minorHAnsi" w:hAnsiTheme="minorHAnsi" w:cstheme="minorHAnsi"/>
          <w:lang w:eastAsia="en-AU"/>
        </w:rPr>
        <w:t xml:space="preserve">institutions impacted by the reforms time to assess and </w:t>
      </w:r>
      <w:r w:rsidR="00E0433B">
        <w:rPr>
          <w:rFonts w:asciiTheme="minorHAnsi" w:hAnsiTheme="minorHAnsi" w:cstheme="minorHAnsi"/>
          <w:lang w:eastAsia="en-AU"/>
        </w:rPr>
        <w:t>make</w:t>
      </w:r>
      <w:r w:rsidRPr="00C132C0">
        <w:rPr>
          <w:rFonts w:asciiTheme="minorHAnsi" w:hAnsiTheme="minorHAnsi" w:cstheme="minorHAnsi"/>
          <w:lang w:eastAsia="en-AU"/>
        </w:rPr>
        <w:t xml:space="preserve"> any changes to their operations, policies and procedures to </w:t>
      </w:r>
      <w:r w:rsidR="00E0433B">
        <w:rPr>
          <w:rFonts w:asciiTheme="minorHAnsi" w:hAnsiTheme="minorHAnsi" w:cstheme="minorHAnsi"/>
          <w:lang w:eastAsia="en-AU"/>
        </w:rPr>
        <w:t>ensure</w:t>
      </w:r>
      <w:r w:rsidRPr="00C132C0">
        <w:rPr>
          <w:rFonts w:asciiTheme="minorHAnsi" w:hAnsiTheme="minorHAnsi" w:cstheme="minorHAnsi"/>
          <w:lang w:eastAsia="en-AU"/>
        </w:rPr>
        <w:t xml:space="preserve"> best practice outcomes for children in their care before the </w:t>
      </w:r>
      <w:r w:rsidR="00E0433B">
        <w:rPr>
          <w:rFonts w:asciiTheme="minorHAnsi" w:hAnsiTheme="minorHAnsi" w:cstheme="minorHAnsi"/>
          <w:lang w:eastAsia="en-AU"/>
        </w:rPr>
        <w:t>changes</w:t>
      </w:r>
      <w:r w:rsidRPr="00C132C0">
        <w:rPr>
          <w:rFonts w:asciiTheme="minorHAnsi" w:hAnsiTheme="minorHAnsi" w:cstheme="minorHAnsi"/>
          <w:lang w:eastAsia="en-AU"/>
        </w:rPr>
        <w:t xml:space="preserve"> commence.</w:t>
      </w:r>
    </w:p>
    <w:p w:rsidR="006621A8" w:rsidRPr="00F75E46" w:rsidRDefault="006621A8" w:rsidP="006621A8">
      <w:pPr>
        <w:pStyle w:val="Heading1"/>
      </w:pPr>
      <w:bookmarkStart w:id="2" w:name="_Toc101449490"/>
      <w:r w:rsidRPr="00F75E46">
        <w:t>How will the proper respondent provisions operate?</w:t>
      </w:r>
      <w:bookmarkEnd w:id="2"/>
    </w:p>
    <w:p w:rsidR="006621A8" w:rsidRPr="009B78CD" w:rsidRDefault="006621A8" w:rsidP="00122FC5">
      <w:pPr>
        <w:pStyle w:val="Bulletpoints"/>
        <w:tabs>
          <w:tab w:val="clear" w:pos="360"/>
        </w:tabs>
        <w:ind w:left="567" w:hanging="567"/>
        <w:rPr>
          <w:rFonts w:asciiTheme="minorHAnsi" w:hAnsiTheme="minorHAnsi" w:cstheme="minorHAnsi"/>
          <w:lang w:eastAsia="en-AU"/>
        </w:rPr>
      </w:pPr>
      <w:r>
        <w:rPr>
          <w:rFonts w:asciiTheme="minorHAnsi" w:hAnsiTheme="minorHAnsi" w:cstheme="minorHAnsi"/>
          <w:lang w:eastAsia="en-AU"/>
        </w:rPr>
        <w:t>The legislation</w:t>
      </w:r>
      <w:r w:rsidRPr="00C132C0">
        <w:rPr>
          <w:rFonts w:asciiTheme="minorHAnsi" w:hAnsiTheme="minorHAnsi" w:cstheme="minorHAnsi"/>
          <w:lang w:eastAsia="en-AU"/>
        </w:rPr>
        <w:t xml:space="preserve"> provides a statutory framework for the nomination of a ‘proper respondent’ by an institution to meet chil</w:t>
      </w:r>
      <w:r>
        <w:rPr>
          <w:rFonts w:asciiTheme="minorHAnsi" w:hAnsiTheme="minorHAnsi" w:cstheme="minorHAnsi"/>
          <w:lang w:eastAsia="en-AU"/>
        </w:rPr>
        <w:t xml:space="preserve">d abuse claims and liabilities. A </w:t>
      </w:r>
      <w:r w:rsidR="00122FC5">
        <w:rPr>
          <w:rFonts w:asciiTheme="minorHAnsi" w:hAnsiTheme="minorHAnsi" w:cstheme="minorHAnsi"/>
          <w:lang w:eastAsia="en-AU"/>
        </w:rPr>
        <w:t>c</w:t>
      </w:r>
      <w:r w:rsidR="00122FC5" w:rsidRPr="009B78CD">
        <w:rPr>
          <w:rFonts w:asciiTheme="minorHAnsi" w:hAnsiTheme="minorHAnsi" w:cstheme="minorHAnsi"/>
          <w:lang w:eastAsia="en-AU"/>
        </w:rPr>
        <w:t xml:space="preserve">ourt </w:t>
      </w:r>
      <w:r w:rsidRPr="009B78CD">
        <w:rPr>
          <w:rFonts w:asciiTheme="minorHAnsi" w:hAnsiTheme="minorHAnsi" w:cstheme="minorHAnsi"/>
          <w:lang w:eastAsia="en-AU"/>
        </w:rPr>
        <w:t xml:space="preserve">must not accept the nomination unless </w:t>
      </w:r>
      <w:r>
        <w:rPr>
          <w:rFonts w:asciiTheme="minorHAnsi" w:hAnsiTheme="minorHAnsi" w:cstheme="minorHAnsi"/>
          <w:lang w:eastAsia="en-AU"/>
        </w:rPr>
        <w:t xml:space="preserve">it is </w:t>
      </w:r>
      <w:r w:rsidRPr="009B78CD">
        <w:rPr>
          <w:rFonts w:asciiTheme="minorHAnsi" w:hAnsiTheme="minorHAnsi" w:cstheme="minorHAnsi"/>
          <w:lang w:eastAsia="en-AU"/>
        </w:rPr>
        <w:t>satisfied that the nominated person or entity consents to the nomination, has the financial capacity to pay any damages awarded</w:t>
      </w:r>
      <w:r>
        <w:rPr>
          <w:rFonts w:asciiTheme="minorHAnsi" w:hAnsiTheme="minorHAnsi" w:cstheme="minorHAnsi"/>
          <w:lang w:eastAsia="en-AU"/>
        </w:rPr>
        <w:t>,</w:t>
      </w:r>
      <w:r w:rsidRPr="009B78CD">
        <w:rPr>
          <w:rFonts w:asciiTheme="minorHAnsi" w:hAnsiTheme="minorHAnsi" w:cstheme="minorHAnsi"/>
          <w:lang w:eastAsia="en-AU"/>
        </w:rPr>
        <w:t xml:space="preserve"> and legal costs</w:t>
      </w:r>
      <w:r>
        <w:rPr>
          <w:rFonts w:asciiTheme="minorHAnsi" w:hAnsiTheme="minorHAnsi" w:cstheme="minorHAnsi"/>
          <w:lang w:eastAsia="en-AU"/>
        </w:rPr>
        <w:t>,</w:t>
      </w:r>
      <w:r w:rsidRPr="009B78CD">
        <w:rPr>
          <w:rFonts w:asciiTheme="minorHAnsi" w:hAnsiTheme="minorHAnsi" w:cstheme="minorHAnsi"/>
          <w:lang w:eastAsia="en-AU"/>
        </w:rPr>
        <w:t xml:space="preserve"> and is capable of being sued. </w:t>
      </w:r>
    </w:p>
    <w:p w:rsidR="006621A8" w:rsidRPr="00C132C0" w:rsidRDefault="006621A8" w:rsidP="00122FC5">
      <w:pPr>
        <w:pStyle w:val="Bulletpoints"/>
        <w:tabs>
          <w:tab w:val="clear" w:pos="360"/>
        </w:tabs>
        <w:ind w:left="567" w:hanging="567"/>
        <w:rPr>
          <w:rFonts w:asciiTheme="minorHAnsi" w:hAnsiTheme="minorHAnsi" w:cstheme="minorHAnsi"/>
        </w:rPr>
      </w:pPr>
      <w:r w:rsidRPr="00C132C0">
        <w:rPr>
          <w:rFonts w:asciiTheme="minorHAnsi" w:hAnsiTheme="minorHAnsi" w:cstheme="minorHAnsi"/>
        </w:rPr>
        <w:t xml:space="preserve">If the institution does not nominate a proper respondent or a suitable person within 120 days of the proceeding being commenced, the </w:t>
      </w:r>
      <w:r w:rsidR="00122FC5">
        <w:rPr>
          <w:rFonts w:asciiTheme="minorHAnsi" w:hAnsiTheme="minorHAnsi" w:cstheme="minorHAnsi"/>
        </w:rPr>
        <w:t>c</w:t>
      </w:r>
      <w:r w:rsidR="00122FC5" w:rsidRPr="00C132C0">
        <w:rPr>
          <w:rFonts w:asciiTheme="minorHAnsi" w:hAnsiTheme="minorHAnsi" w:cstheme="minorHAnsi"/>
        </w:rPr>
        <w:t xml:space="preserve">ourt </w:t>
      </w:r>
      <w:r w:rsidRPr="00C132C0">
        <w:rPr>
          <w:rFonts w:asciiTheme="minorHAnsi" w:hAnsiTheme="minorHAnsi" w:cstheme="minorHAnsi"/>
        </w:rPr>
        <w:t>may order that the trustee of an associated trust of the institution be substituted as the proper respondent</w:t>
      </w:r>
      <w:r>
        <w:rPr>
          <w:rFonts w:asciiTheme="minorHAnsi" w:hAnsiTheme="minorHAnsi" w:cstheme="minorHAnsi"/>
        </w:rPr>
        <w:t>.</w:t>
      </w:r>
    </w:p>
    <w:p w:rsidR="006621A8" w:rsidRPr="00F75E46" w:rsidRDefault="006621A8" w:rsidP="006621A8">
      <w:pPr>
        <w:pStyle w:val="Heading1"/>
      </w:pPr>
      <w:bookmarkStart w:id="3" w:name="_Toc101449491"/>
      <w:r w:rsidRPr="00F75E46">
        <w:t>How will the provisions</w:t>
      </w:r>
      <w:r>
        <w:t xml:space="preserve"> operate</w:t>
      </w:r>
      <w:r w:rsidRPr="00F75E46">
        <w:t xml:space="preserve"> in relation to </w:t>
      </w:r>
      <w:bookmarkEnd w:id="3"/>
      <w:r w:rsidRPr="00F75E46">
        <w:t>former institutions?</w:t>
      </w:r>
    </w:p>
    <w:p w:rsidR="006621A8" w:rsidRPr="00C132C0" w:rsidRDefault="006621A8" w:rsidP="00122FC5">
      <w:pPr>
        <w:pStyle w:val="Bulletpoints"/>
        <w:tabs>
          <w:tab w:val="clear" w:pos="360"/>
        </w:tabs>
        <w:ind w:left="567" w:hanging="567"/>
        <w:rPr>
          <w:rFonts w:asciiTheme="minorHAnsi" w:hAnsiTheme="minorHAnsi" w:cstheme="minorHAnsi"/>
        </w:rPr>
      </w:pPr>
      <w:r w:rsidRPr="00C132C0">
        <w:rPr>
          <w:rFonts w:asciiTheme="minorHAnsi" w:hAnsiTheme="minorHAnsi" w:cstheme="minorHAnsi"/>
        </w:rPr>
        <w:t xml:space="preserve">The </w:t>
      </w:r>
      <w:r>
        <w:rPr>
          <w:rFonts w:asciiTheme="minorHAnsi" w:hAnsiTheme="minorHAnsi" w:cstheme="minorHAnsi"/>
        </w:rPr>
        <w:t xml:space="preserve">amendments </w:t>
      </w:r>
      <w:r w:rsidRPr="00C132C0">
        <w:rPr>
          <w:rFonts w:asciiTheme="minorHAnsi" w:hAnsiTheme="minorHAnsi" w:cstheme="minorHAnsi"/>
        </w:rPr>
        <w:t>will prevent an institution from avoiding a claim on a legal technicality where historical institutions no longer exist at the time</w:t>
      </w:r>
      <w:r>
        <w:rPr>
          <w:rFonts w:asciiTheme="minorHAnsi" w:hAnsiTheme="minorHAnsi" w:cstheme="minorHAnsi"/>
        </w:rPr>
        <w:t xml:space="preserve"> of</w:t>
      </w:r>
      <w:r w:rsidRPr="00C132C0">
        <w:rPr>
          <w:rFonts w:asciiTheme="minorHAnsi" w:hAnsiTheme="minorHAnsi" w:cstheme="minorHAnsi"/>
        </w:rPr>
        <w:t xml:space="preserve"> litigation </w:t>
      </w:r>
      <w:r>
        <w:rPr>
          <w:rFonts w:asciiTheme="minorHAnsi" w:hAnsiTheme="minorHAnsi" w:cstheme="minorHAnsi"/>
        </w:rPr>
        <w:t>proceedings</w:t>
      </w:r>
      <w:r w:rsidR="00BF2891">
        <w:rPr>
          <w:rFonts w:asciiTheme="minorHAnsi" w:hAnsiTheme="minorHAnsi" w:cstheme="minorHAnsi"/>
        </w:rPr>
        <w:t xml:space="preserve"> (that would otherwise prevent a claim being considered by a </w:t>
      </w:r>
      <w:r w:rsidR="00BF549D">
        <w:rPr>
          <w:rFonts w:asciiTheme="minorHAnsi" w:hAnsiTheme="minorHAnsi" w:cstheme="minorHAnsi"/>
        </w:rPr>
        <w:t>court</w:t>
      </w:r>
      <w:r w:rsidR="00BF2891">
        <w:rPr>
          <w:rFonts w:asciiTheme="minorHAnsi" w:hAnsiTheme="minorHAnsi" w:cstheme="minorHAnsi"/>
        </w:rPr>
        <w:t>)</w:t>
      </w:r>
      <w:r w:rsidRPr="00C132C0">
        <w:rPr>
          <w:rFonts w:asciiTheme="minorHAnsi" w:hAnsiTheme="minorHAnsi" w:cstheme="minorHAnsi"/>
        </w:rPr>
        <w:t xml:space="preserve">. The reforms provide that a current institution </w:t>
      </w:r>
      <w:r>
        <w:rPr>
          <w:rFonts w:asciiTheme="minorHAnsi" w:hAnsiTheme="minorHAnsi" w:cstheme="minorHAnsi"/>
        </w:rPr>
        <w:t>will</w:t>
      </w:r>
      <w:r w:rsidRPr="00C132C0">
        <w:rPr>
          <w:rFonts w:asciiTheme="minorHAnsi" w:hAnsiTheme="minorHAnsi" w:cstheme="minorHAnsi"/>
        </w:rPr>
        <w:t xml:space="preserve"> be </w:t>
      </w:r>
      <w:r>
        <w:rPr>
          <w:rFonts w:asciiTheme="minorHAnsi" w:hAnsiTheme="minorHAnsi" w:cstheme="minorHAnsi"/>
        </w:rPr>
        <w:t>responsible for</w:t>
      </w:r>
      <w:r w:rsidR="00BF549D">
        <w:rPr>
          <w:rFonts w:asciiTheme="minorHAnsi" w:hAnsiTheme="minorHAnsi" w:cstheme="minorHAnsi"/>
        </w:rPr>
        <w:t> </w:t>
      </w:r>
      <w:r>
        <w:rPr>
          <w:rFonts w:asciiTheme="minorHAnsi" w:hAnsiTheme="minorHAnsi" w:cstheme="minorHAnsi"/>
        </w:rPr>
        <w:t>/</w:t>
      </w:r>
      <w:r w:rsidR="00BF549D">
        <w:rPr>
          <w:rFonts w:asciiTheme="minorHAnsi" w:hAnsiTheme="minorHAnsi" w:cstheme="minorHAnsi"/>
        </w:rPr>
        <w:t> </w:t>
      </w:r>
      <w:r w:rsidR="00BF2891">
        <w:rPr>
          <w:rFonts w:asciiTheme="minorHAnsi" w:hAnsiTheme="minorHAnsi" w:cstheme="minorHAnsi"/>
        </w:rPr>
        <w:t>considered to be</w:t>
      </w:r>
      <w:r w:rsidRPr="00C132C0">
        <w:rPr>
          <w:rFonts w:asciiTheme="minorHAnsi" w:hAnsiTheme="minorHAnsi" w:cstheme="minorHAnsi"/>
        </w:rPr>
        <w:t xml:space="preserve"> a former institution </w:t>
      </w:r>
      <w:r w:rsidR="00BF2891">
        <w:rPr>
          <w:rFonts w:asciiTheme="minorHAnsi" w:hAnsiTheme="minorHAnsi" w:cstheme="minorHAnsi"/>
        </w:rPr>
        <w:t xml:space="preserve">for the purpose of a claim of abuse </w:t>
      </w:r>
      <w:r w:rsidRPr="00C132C0">
        <w:rPr>
          <w:rFonts w:asciiTheme="minorHAnsi" w:hAnsiTheme="minorHAnsi" w:cstheme="minorHAnsi"/>
        </w:rPr>
        <w:t xml:space="preserve">if it is substantially the same body as when the </w:t>
      </w:r>
      <w:r>
        <w:rPr>
          <w:rFonts w:asciiTheme="minorHAnsi" w:hAnsiTheme="minorHAnsi" w:cstheme="minorHAnsi"/>
        </w:rPr>
        <w:t xml:space="preserve">abuse occurred. This is the case </w:t>
      </w:r>
      <w:r w:rsidRPr="00C132C0">
        <w:rPr>
          <w:rFonts w:asciiTheme="minorHAnsi" w:hAnsiTheme="minorHAnsi" w:cstheme="minorHAnsi"/>
        </w:rPr>
        <w:t xml:space="preserve">even if </w:t>
      </w:r>
      <w:r>
        <w:rPr>
          <w:rFonts w:asciiTheme="minorHAnsi" w:hAnsiTheme="minorHAnsi" w:cstheme="minorHAnsi"/>
        </w:rPr>
        <w:t>the institution</w:t>
      </w:r>
      <w:r w:rsidRPr="00C132C0">
        <w:rPr>
          <w:rFonts w:asciiTheme="minorHAnsi" w:hAnsiTheme="minorHAnsi" w:cstheme="minorHAnsi"/>
        </w:rPr>
        <w:t xml:space="preserve"> has changed its name, restructured, become incorporated, or its functions or </w:t>
      </w:r>
      <w:r>
        <w:rPr>
          <w:rFonts w:asciiTheme="minorHAnsi" w:hAnsiTheme="minorHAnsi" w:cstheme="minorHAnsi"/>
        </w:rPr>
        <w:t>relocated</w:t>
      </w:r>
      <w:r w:rsidRPr="00C132C0">
        <w:rPr>
          <w:rFonts w:asciiTheme="minorHAnsi" w:hAnsiTheme="minorHAnsi" w:cstheme="minorHAnsi"/>
        </w:rPr>
        <w:t xml:space="preserve">.  </w:t>
      </w:r>
    </w:p>
    <w:p w:rsidR="006621A8" w:rsidRPr="00C132C0" w:rsidRDefault="006621A8" w:rsidP="00122FC5">
      <w:pPr>
        <w:pStyle w:val="Bulletpoints"/>
        <w:tabs>
          <w:tab w:val="clear" w:pos="360"/>
        </w:tabs>
        <w:ind w:left="567" w:hanging="567"/>
        <w:rPr>
          <w:rFonts w:asciiTheme="minorHAnsi" w:hAnsiTheme="minorHAnsi" w:cstheme="minorHAnsi"/>
        </w:rPr>
      </w:pPr>
      <w:r>
        <w:rPr>
          <w:rFonts w:asciiTheme="minorHAnsi" w:hAnsiTheme="minorHAnsi" w:cstheme="minorHAnsi"/>
        </w:rPr>
        <w:t xml:space="preserve">The amendments </w:t>
      </w:r>
      <w:r w:rsidRPr="00C132C0">
        <w:rPr>
          <w:rFonts w:asciiTheme="minorHAnsi" w:hAnsiTheme="minorHAnsi" w:cstheme="minorHAnsi"/>
        </w:rPr>
        <w:t xml:space="preserve">also provide </w:t>
      </w:r>
      <w:r>
        <w:rPr>
          <w:rFonts w:asciiTheme="minorHAnsi" w:hAnsiTheme="minorHAnsi" w:cstheme="minorHAnsi"/>
        </w:rPr>
        <w:t>that a</w:t>
      </w:r>
      <w:r w:rsidRPr="00C132C0">
        <w:rPr>
          <w:rFonts w:asciiTheme="minorHAnsi" w:hAnsiTheme="minorHAnsi" w:cstheme="minorHAnsi"/>
        </w:rPr>
        <w:t xml:space="preserve"> current office holder</w:t>
      </w:r>
      <w:r>
        <w:rPr>
          <w:rFonts w:asciiTheme="minorHAnsi" w:hAnsiTheme="minorHAnsi" w:cstheme="minorHAnsi"/>
        </w:rPr>
        <w:t xml:space="preserve"> can be held liable for child abuse that took place in the past</w:t>
      </w:r>
      <w:r w:rsidRPr="00C132C0">
        <w:rPr>
          <w:rFonts w:asciiTheme="minorHAnsi" w:hAnsiTheme="minorHAnsi" w:cstheme="minorHAnsi"/>
        </w:rPr>
        <w:t xml:space="preserve"> where the office in an institution is substantially the same as it was when </w:t>
      </w:r>
      <w:r>
        <w:rPr>
          <w:rFonts w:asciiTheme="minorHAnsi" w:hAnsiTheme="minorHAnsi" w:cstheme="minorHAnsi"/>
        </w:rPr>
        <w:t>the abuse occurred</w:t>
      </w:r>
      <w:r w:rsidRPr="00C132C0">
        <w:rPr>
          <w:rFonts w:asciiTheme="minorHAnsi" w:hAnsiTheme="minorHAnsi" w:cstheme="minorHAnsi"/>
        </w:rPr>
        <w:t xml:space="preserve">. If there is no office that is the same or substantially the same, the head of the institution is taken to be the current office holder. </w:t>
      </w:r>
    </w:p>
    <w:p w:rsidR="006621A8" w:rsidRPr="006621A8" w:rsidRDefault="006621A8" w:rsidP="006621A8">
      <w:pPr>
        <w:pStyle w:val="Heading1"/>
      </w:pPr>
      <w:bookmarkStart w:id="4" w:name="_Toc101449492"/>
      <w:r w:rsidRPr="006621A8">
        <w:lastRenderedPageBreak/>
        <w:t xml:space="preserve">Why </w:t>
      </w:r>
      <w:r w:rsidR="00BF549D">
        <w:t>were</w:t>
      </w:r>
      <w:r w:rsidRPr="006621A8">
        <w:t xml:space="preserve"> amendments</w:t>
      </w:r>
      <w:r w:rsidR="00BF549D">
        <w:t xml:space="preserve"> made</w:t>
      </w:r>
      <w:r w:rsidRPr="006621A8">
        <w:t xml:space="preserve"> in relation to liability of unincorporated institutions?</w:t>
      </w:r>
      <w:bookmarkEnd w:id="4"/>
      <w:r w:rsidRPr="006621A8">
        <w:t xml:space="preserve"> </w:t>
      </w:r>
    </w:p>
    <w:p w:rsidR="006621A8" w:rsidRPr="00F75E46" w:rsidRDefault="006621A8" w:rsidP="00BF549D">
      <w:pPr>
        <w:pStyle w:val="Bulletpoints"/>
        <w:tabs>
          <w:tab w:val="clear" w:pos="360"/>
        </w:tabs>
        <w:ind w:left="567" w:hanging="567"/>
        <w:rPr>
          <w:rFonts w:asciiTheme="minorHAnsi" w:hAnsiTheme="minorHAnsi" w:cstheme="minorHAnsi"/>
          <w:lang w:eastAsia="en-AU"/>
        </w:rPr>
      </w:pPr>
      <w:r w:rsidRPr="00C132C0">
        <w:rPr>
          <w:rFonts w:asciiTheme="minorHAnsi" w:hAnsiTheme="minorHAnsi" w:cstheme="minorHAnsi"/>
          <w:lang w:eastAsia="en-AU"/>
        </w:rPr>
        <w:t>Unincorporated institutions are</w:t>
      </w:r>
      <w:r>
        <w:rPr>
          <w:rFonts w:asciiTheme="minorHAnsi" w:hAnsiTheme="minorHAnsi" w:cstheme="minorHAnsi"/>
          <w:lang w:eastAsia="en-AU"/>
        </w:rPr>
        <w:t xml:space="preserve"> presently</w:t>
      </w:r>
      <w:r w:rsidRPr="00C132C0">
        <w:rPr>
          <w:rFonts w:asciiTheme="minorHAnsi" w:hAnsiTheme="minorHAnsi" w:cstheme="minorHAnsi"/>
          <w:lang w:eastAsia="en-AU"/>
        </w:rPr>
        <w:t xml:space="preserve"> unable to be sued. </w:t>
      </w:r>
      <w:r w:rsidRPr="00F75E46">
        <w:rPr>
          <w:rFonts w:asciiTheme="minorHAnsi" w:hAnsiTheme="minorHAnsi" w:cstheme="minorHAnsi"/>
          <w:lang w:eastAsia="en-AU"/>
        </w:rPr>
        <w:t>The amendments address this legal loophole</w:t>
      </w:r>
      <w:r w:rsidR="00831ACB">
        <w:rPr>
          <w:rFonts w:asciiTheme="minorHAnsi" w:hAnsiTheme="minorHAnsi" w:cstheme="minorHAnsi"/>
          <w:lang w:eastAsia="en-AU"/>
        </w:rPr>
        <w:t xml:space="preserve"> and provides greater accountability for abuse</w:t>
      </w:r>
      <w:r w:rsidRPr="00F75E46">
        <w:rPr>
          <w:rFonts w:asciiTheme="minorHAnsi" w:hAnsiTheme="minorHAnsi" w:cstheme="minorHAnsi"/>
          <w:lang w:eastAsia="en-AU"/>
        </w:rPr>
        <w:t>.</w:t>
      </w:r>
    </w:p>
    <w:p w:rsidR="006621A8" w:rsidRPr="00F75E46" w:rsidRDefault="006621A8" w:rsidP="006621A8">
      <w:pPr>
        <w:pStyle w:val="Heading1"/>
        <w:rPr>
          <w:lang w:eastAsia="en-AU"/>
        </w:rPr>
      </w:pPr>
      <w:r w:rsidRPr="00F75E46">
        <w:t xml:space="preserve">What is child abuse for the purpose of the amendments? Is it more than sexual abuse? </w:t>
      </w:r>
    </w:p>
    <w:p w:rsidR="006621A8" w:rsidRPr="00E2521E" w:rsidRDefault="006621A8" w:rsidP="00BF549D">
      <w:pPr>
        <w:pStyle w:val="Bulletpoints"/>
        <w:tabs>
          <w:tab w:val="clear" w:pos="360"/>
        </w:tabs>
        <w:ind w:left="567" w:hanging="567"/>
        <w:rPr>
          <w:rFonts w:asciiTheme="minorHAnsi" w:hAnsiTheme="minorHAnsi" w:cstheme="minorHAnsi"/>
          <w:szCs w:val="22"/>
          <w:lang w:eastAsia="en-AU"/>
        </w:rPr>
      </w:pPr>
      <w:r w:rsidRPr="00E2521E">
        <w:rPr>
          <w:rFonts w:asciiTheme="minorHAnsi" w:hAnsiTheme="minorHAnsi" w:cstheme="minorHAnsi"/>
          <w:szCs w:val="22"/>
          <w:lang w:eastAsia="en-AU"/>
        </w:rPr>
        <w:t xml:space="preserve">‘Child abuse’ is defined to mean sexual abuse, serious physical abuse </w:t>
      </w:r>
      <w:r w:rsidR="00E0433B">
        <w:rPr>
          <w:rFonts w:asciiTheme="minorHAnsi" w:hAnsiTheme="minorHAnsi" w:cstheme="minorHAnsi"/>
          <w:szCs w:val="22"/>
          <w:lang w:eastAsia="en-AU"/>
        </w:rPr>
        <w:t>of</w:t>
      </w:r>
      <w:r w:rsidRPr="00E2521E">
        <w:rPr>
          <w:rFonts w:asciiTheme="minorHAnsi" w:hAnsiTheme="minorHAnsi" w:cstheme="minorHAnsi"/>
          <w:szCs w:val="22"/>
          <w:lang w:eastAsia="en-AU"/>
        </w:rPr>
        <w:t xml:space="preserve"> a child and psychological abuse that arises from either </w:t>
      </w:r>
      <w:r>
        <w:rPr>
          <w:rFonts w:asciiTheme="minorHAnsi" w:hAnsiTheme="minorHAnsi" w:cstheme="minorHAnsi"/>
          <w:szCs w:val="22"/>
          <w:lang w:eastAsia="en-AU"/>
        </w:rPr>
        <w:t>sexual abuse or serious physical abuse</w:t>
      </w:r>
      <w:r w:rsidRPr="00E2521E">
        <w:rPr>
          <w:rFonts w:asciiTheme="minorHAnsi" w:hAnsiTheme="minorHAnsi" w:cstheme="minorHAnsi"/>
          <w:szCs w:val="22"/>
          <w:lang w:eastAsia="en-AU"/>
        </w:rPr>
        <w:t xml:space="preserve">. </w:t>
      </w:r>
    </w:p>
    <w:p w:rsidR="006621A8" w:rsidRPr="00E2521E" w:rsidRDefault="006621A8" w:rsidP="00BF549D">
      <w:pPr>
        <w:pStyle w:val="Bulletpoints"/>
        <w:tabs>
          <w:tab w:val="clear" w:pos="360"/>
        </w:tabs>
        <w:ind w:left="567" w:hanging="567"/>
        <w:rPr>
          <w:rFonts w:asciiTheme="minorHAnsi" w:hAnsiTheme="minorHAnsi" w:cstheme="minorHAnsi"/>
          <w:szCs w:val="22"/>
          <w:lang w:eastAsia="en-AU"/>
        </w:rPr>
      </w:pPr>
      <w:r>
        <w:rPr>
          <w:rFonts w:asciiTheme="minorHAnsi" w:hAnsiTheme="minorHAnsi" w:cstheme="minorHAnsi"/>
          <w:szCs w:val="22"/>
        </w:rPr>
        <w:t>S</w:t>
      </w:r>
      <w:r w:rsidRPr="00E2521E">
        <w:rPr>
          <w:rFonts w:asciiTheme="minorHAnsi" w:hAnsiTheme="minorHAnsi" w:cstheme="minorHAnsi"/>
          <w:szCs w:val="22"/>
        </w:rPr>
        <w:t xml:space="preserve">erious physical abuse can cause similar damage to sexual abuse and </w:t>
      </w:r>
      <w:r w:rsidR="00BF549D">
        <w:rPr>
          <w:rFonts w:asciiTheme="minorHAnsi" w:hAnsiTheme="minorHAnsi" w:cstheme="minorHAnsi"/>
          <w:szCs w:val="22"/>
        </w:rPr>
        <w:t>often the two types of abuse co</w:t>
      </w:r>
      <w:r w:rsidR="00BF549D">
        <w:rPr>
          <w:rFonts w:asciiTheme="minorHAnsi" w:hAnsiTheme="minorHAnsi" w:cstheme="minorHAnsi"/>
          <w:szCs w:val="22"/>
        </w:rPr>
        <w:noBreakHyphen/>
      </w:r>
      <w:r w:rsidRPr="00E2521E">
        <w:rPr>
          <w:rFonts w:asciiTheme="minorHAnsi" w:hAnsiTheme="minorHAnsi" w:cstheme="minorHAnsi"/>
          <w:szCs w:val="22"/>
        </w:rPr>
        <w:t xml:space="preserve">occur. </w:t>
      </w:r>
    </w:p>
    <w:p w:rsidR="006621A8" w:rsidRPr="00E2521E" w:rsidRDefault="006621A8" w:rsidP="00BF549D">
      <w:pPr>
        <w:pStyle w:val="Bulletpoints"/>
        <w:tabs>
          <w:tab w:val="clear" w:pos="360"/>
        </w:tabs>
        <w:ind w:left="567" w:hanging="567"/>
        <w:rPr>
          <w:rFonts w:asciiTheme="minorHAnsi" w:hAnsiTheme="minorHAnsi" w:cstheme="minorHAnsi"/>
          <w:szCs w:val="22"/>
          <w:lang w:eastAsia="en-AU"/>
        </w:rPr>
      </w:pPr>
      <w:r w:rsidRPr="00E2521E">
        <w:rPr>
          <w:rFonts w:asciiTheme="minorHAnsi" w:hAnsiTheme="minorHAnsi" w:cstheme="minorHAnsi"/>
          <w:szCs w:val="22"/>
        </w:rPr>
        <w:t xml:space="preserve">The definition of ‘child abuse’ is consistent with the definition in the </w:t>
      </w:r>
      <w:r w:rsidRPr="00E2521E">
        <w:rPr>
          <w:rFonts w:asciiTheme="minorHAnsi" w:hAnsiTheme="minorHAnsi" w:cstheme="minorHAnsi"/>
          <w:i/>
          <w:iCs w:val="0"/>
          <w:szCs w:val="22"/>
        </w:rPr>
        <w:t>Limitation Amendment (Child Abuse) Act 2017</w:t>
      </w:r>
      <w:r w:rsidRPr="00E2521E">
        <w:rPr>
          <w:rFonts w:asciiTheme="minorHAnsi" w:hAnsiTheme="minorHAnsi" w:cstheme="minorHAnsi"/>
          <w:szCs w:val="22"/>
        </w:rPr>
        <w:t>.   </w:t>
      </w:r>
    </w:p>
    <w:p w:rsidR="006621A8" w:rsidRPr="00C132C0" w:rsidRDefault="006621A8" w:rsidP="006621A8">
      <w:pPr>
        <w:pStyle w:val="Heading1"/>
        <w:rPr>
          <w:lang w:eastAsia="en-AU"/>
        </w:rPr>
      </w:pPr>
      <w:r w:rsidRPr="00C132C0">
        <w:rPr>
          <w:lang w:eastAsia="en-AU"/>
        </w:rPr>
        <w:t>Will the amendments apply to historical abuse?</w:t>
      </w:r>
    </w:p>
    <w:p w:rsidR="006621A8" w:rsidRPr="00F75E46" w:rsidRDefault="006621A8" w:rsidP="00BF549D">
      <w:pPr>
        <w:pStyle w:val="Bulletpoints"/>
        <w:numPr>
          <w:ilvl w:val="0"/>
          <w:numId w:val="11"/>
        </w:numPr>
        <w:ind w:left="567" w:hanging="567"/>
        <w:rPr>
          <w:rFonts w:asciiTheme="minorHAnsi" w:hAnsiTheme="minorHAnsi" w:cstheme="minorHAnsi"/>
          <w:szCs w:val="22"/>
        </w:rPr>
      </w:pPr>
      <w:r>
        <w:rPr>
          <w:rFonts w:asciiTheme="minorHAnsi" w:hAnsiTheme="minorHAnsi" w:cstheme="minorHAnsi"/>
          <w:szCs w:val="22"/>
          <w:lang w:eastAsia="en-AU"/>
        </w:rPr>
        <w:t xml:space="preserve">Yes. </w:t>
      </w:r>
      <w:r w:rsidRPr="008E1554">
        <w:rPr>
          <w:rFonts w:asciiTheme="minorHAnsi" w:hAnsiTheme="minorHAnsi" w:cstheme="minorHAnsi"/>
          <w:szCs w:val="22"/>
        </w:rPr>
        <w:t xml:space="preserve">Divisions 4, 5 and 6 </w:t>
      </w:r>
      <w:r>
        <w:rPr>
          <w:rFonts w:asciiTheme="minorHAnsi" w:hAnsiTheme="minorHAnsi" w:cstheme="minorHAnsi"/>
          <w:szCs w:val="22"/>
        </w:rPr>
        <w:t>of new Part 3A of PILDA will</w:t>
      </w:r>
      <w:r w:rsidRPr="008E1554">
        <w:rPr>
          <w:rFonts w:asciiTheme="minorHAnsi" w:hAnsiTheme="minorHAnsi" w:cstheme="minorHAnsi"/>
          <w:szCs w:val="22"/>
        </w:rPr>
        <w:t xml:space="preserve"> apply </w:t>
      </w:r>
      <w:r w:rsidR="00277F61">
        <w:rPr>
          <w:rFonts w:asciiTheme="minorHAnsi" w:hAnsiTheme="minorHAnsi" w:cstheme="minorHAnsi"/>
          <w:szCs w:val="22"/>
        </w:rPr>
        <w:t>to abuse that occurred in the past before the provisions commence, as well as any abuse that occurs after the provisions commence</w:t>
      </w:r>
      <w:r>
        <w:rPr>
          <w:rFonts w:asciiTheme="minorHAnsi" w:hAnsiTheme="minorHAnsi" w:cstheme="minorHAnsi"/>
          <w:szCs w:val="22"/>
        </w:rPr>
        <w:t xml:space="preserve">. The purpose of the amendments is to help survivors of child abuse </w:t>
      </w:r>
      <w:r w:rsidRPr="008E1554">
        <w:rPr>
          <w:rFonts w:asciiTheme="minorHAnsi" w:hAnsiTheme="minorHAnsi" w:cstheme="minorHAnsi"/>
          <w:szCs w:val="22"/>
        </w:rPr>
        <w:t>no matter when the abuse occurred</w:t>
      </w:r>
      <w:r>
        <w:rPr>
          <w:rFonts w:asciiTheme="minorHAnsi" w:hAnsiTheme="minorHAnsi" w:cstheme="minorHAnsi"/>
          <w:szCs w:val="22"/>
        </w:rPr>
        <w:t>.</w:t>
      </w:r>
      <w:r w:rsidRPr="008E1554">
        <w:rPr>
          <w:rFonts w:asciiTheme="minorHAnsi" w:hAnsiTheme="minorHAnsi" w:cstheme="minorHAnsi"/>
          <w:szCs w:val="22"/>
        </w:rPr>
        <w:t xml:space="preserve"> </w:t>
      </w:r>
    </w:p>
    <w:p w:rsidR="006621A8" w:rsidRDefault="006621A8" w:rsidP="006621A8">
      <w:pPr>
        <w:pStyle w:val="Heading1"/>
      </w:pPr>
      <w:r w:rsidRPr="00E2521E">
        <w:t xml:space="preserve">What </w:t>
      </w:r>
      <w:r>
        <w:t>do you need to do</w:t>
      </w:r>
      <w:r w:rsidRPr="00E2521E">
        <w:t xml:space="preserve">? </w:t>
      </w:r>
    </w:p>
    <w:p w:rsidR="006621A8" w:rsidRDefault="006621A8" w:rsidP="00BF549D">
      <w:pPr>
        <w:pStyle w:val="Bulletpoints"/>
        <w:numPr>
          <w:ilvl w:val="0"/>
          <w:numId w:val="11"/>
        </w:numPr>
        <w:ind w:left="567" w:hanging="567"/>
        <w:rPr>
          <w:rFonts w:asciiTheme="minorHAnsi" w:hAnsiTheme="minorHAnsi" w:cstheme="minorHAnsi"/>
          <w:b/>
          <w:sz w:val="28"/>
          <w:szCs w:val="28"/>
          <w:lang w:eastAsia="en-AU"/>
        </w:rPr>
      </w:pPr>
      <w:r>
        <w:rPr>
          <w:rFonts w:asciiTheme="minorHAnsi" w:hAnsiTheme="minorHAnsi" w:cstheme="minorHAnsi"/>
          <w:color w:val="000000"/>
          <w:szCs w:val="22"/>
        </w:rPr>
        <w:t>Institutions</w:t>
      </w:r>
      <w:r w:rsidRPr="00E2521E">
        <w:rPr>
          <w:rFonts w:asciiTheme="minorHAnsi" w:hAnsiTheme="minorHAnsi" w:cstheme="minorHAnsi"/>
          <w:color w:val="000000"/>
          <w:szCs w:val="22"/>
        </w:rPr>
        <w:t xml:space="preserve"> should make appropriate assessments based on the nature of their </w:t>
      </w:r>
      <w:r>
        <w:rPr>
          <w:rFonts w:asciiTheme="minorHAnsi" w:hAnsiTheme="minorHAnsi" w:cstheme="minorHAnsi"/>
          <w:color w:val="000000"/>
          <w:szCs w:val="22"/>
        </w:rPr>
        <w:t>institutions</w:t>
      </w:r>
      <w:r w:rsidRPr="00E2521E">
        <w:rPr>
          <w:rFonts w:asciiTheme="minorHAnsi" w:hAnsiTheme="minorHAnsi" w:cstheme="minorHAnsi"/>
          <w:color w:val="000000"/>
          <w:szCs w:val="22"/>
        </w:rPr>
        <w:t xml:space="preserve"> </w:t>
      </w:r>
      <w:r w:rsidR="00277F61">
        <w:rPr>
          <w:rFonts w:asciiTheme="minorHAnsi" w:hAnsiTheme="minorHAnsi" w:cstheme="minorHAnsi"/>
          <w:color w:val="000000"/>
          <w:szCs w:val="22"/>
        </w:rPr>
        <w:t>to understand potential liabilities</w:t>
      </w:r>
      <w:r w:rsidRPr="00E2521E">
        <w:rPr>
          <w:rFonts w:asciiTheme="minorHAnsi" w:hAnsiTheme="minorHAnsi" w:cstheme="minorHAnsi"/>
          <w:color w:val="000000"/>
          <w:szCs w:val="22"/>
        </w:rPr>
        <w:t xml:space="preserve">. </w:t>
      </w:r>
    </w:p>
    <w:p w:rsidR="006621A8" w:rsidRPr="00F75E46" w:rsidRDefault="006621A8" w:rsidP="00BF549D">
      <w:pPr>
        <w:pStyle w:val="Bulletpoints"/>
        <w:numPr>
          <w:ilvl w:val="0"/>
          <w:numId w:val="11"/>
        </w:numPr>
        <w:ind w:left="567" w:hanging="567"/>
        <w:rPr>
          <w:rFonts w:asciiTheme="minorHAnsi" w:hAnsiTheme="minorHAnsi" w:cstheme="minorHAnsi"/>
          <w:sz w:val="28"/>
          <w:szCs w:val="28"/>
          <w:lang w:eastAsia="en-AU"/>
        </w:rPr>
      </w:pPr>
      <w:r w:rsidRPr="006350C6">
        <w:rPr>
          <w:rFonts w:asciiTheme="minorHAnsi" w:hAnsiTheme="minorHAnsi" w:cstheme="minorHAnsi"/>
          <w:szCs w:val="28"/>
          <w:lang w:eastAsia="en-AU"/>
        </w:rPr>
        <w:t xml:space="preserve">If your institution </w:t>
      </w:r>
      <w:r>
        <w:rPr>
          <w:rFonts w:asciiTheme="minorHAnsi" w:hAnsiTheme="minorHAnsi" w:cstheme="minorHAnsi"/>
          <w:szCs w:val="28"/>
          <w:lang w:eastAsia="en-AU"/>
        </w:rPr>
        <w:t xml:space="preserve">has an associated property trust, you should be aware that the property trust can be appointed as a ‘proper respondent’ to meet liabilities arising from child abuse proceedings. </w:t>
      </w:r>
    </w:p>
    <w:p w:rsidR="006621A8" w:rsidRPr="00F75E46" w:rsidRDefault="006621A8" w:rsidP="00BF549D">
      <w:pPr>
        <w:pStyle w:val="Bulletpoints"/>
        <w:numPr>
          <w:ilvl w:val="0"/>
          <w:numId w:val="11"/>
        </w:numPr>
        <w:ind w:left="567" w:hanging="567"/>
        <w:rPr>
          <w:rFonts w:asciiTheme="minorHAnsi" w:hAnsiTheme="minorHAnsi" w:cstheme="minorHAnsi"/>
          <w:sz w:val="28"/>
          <w:szCs w:val="28"/>
          <w:lang w:eastAsia="en-AU"/>
        </w:rPr>
      </w:pPr>
      <w:r>
        <w:rPr>
          <w:rFonts w:asciiTheme="minorHAnsi" w:hAnsiTheme="minorHAnsi" w:cstheme="minorHAnsi"/>
          <w:szCs w:val="28"/>
          <w:lang w:eastAsia="en-AU"/>
        </w:rPr>
        <w:t>If your institution</w:t>
      </w:r>
      <w:r w:rsidRPr="006350C6">
        <w:rPr>
          <w:rFonts w:asciiTheme="minorHAnsi" w:hAnsiTheme="minorHAnsi" w:cstheme="minorHAnsi"/>
          <w:szCs w:val="22"/>
        </w:rPr>
        <w:t xml:space="preserve"> </w:t>
      </w:r>
      <w:r>
        <w:rPr>
          <w:rFonts w:asciiTheme="minorHAnsi" w:hAnsiTheme="minorHAnsi" w:cstheme="minorHAnsi"/>
          <w:szCs w:val="22"/>
        </w:rPr>
        <w:t xml:space="preserve">is a successor of a previous institution that has </w:t>
      </w:r>
      <w:r w:rsidRPr="00794DF7">
        <w:rPr>
          <w:rFonts w:asciiTheme="minorHAnsi" w:hAnsiTheme="minorHAnsi" w:cstheme="minorHAnsi"/>
          <w:szCs w:val="22"/>
        </w:rPr>
        <w:t xml:space="preserve">changed its name, restructured, become incorporated, or </w:t>
      </w:r>
      <w:r>
        <w:rPr>
          <w:rFonts w:asciiTheme="minorHAnsi" w:hAnsiTheme="minorHAnsi" w:cstheme="minorHAnsi"/>
          <w:szCs w:val="22"/>
        </w:rPr>
        <w:t xml:space="preserve">changed location, you should be aware that this will not prevent your institution from being liable in child abuse proceedings for abuse that occurred in the past. </w:t>
      </w:r>
    </w:p>
    <w:p w:rsidR="006A2F2D" w:rsidRPr="00206914" w:rsidRDefault="006621A8" w:rsidP="00BF549D">
      <w:pPr>
        <w:pStyle w:val="Bulletpoints"/>
        <w:numPr>
          <w:ilvl w:val="0"/>
          <w:numId w:val="11"/>
        </w:numPr>
        <w:ind w:left="567" w:hanging="567"/>
        <w:rPr>
          <w:rFonts w:asciiTheme="minorHAnsi" w:hAnsiTheme="minorHAnsi" w:cstheme="minorHAnsi"/>
          <w:sz w:val="28"/>
          <w:szCs w:val="28"/>
          <w:lang w:eastAsia="en-AU"/>
        </w:rPr>
      </w:pPr>
      <w:r>
        <w:rPr>
          <w:rFonts w:asciiTheme="minorHAnsi" w:hAnsiTheme="minorHAnsi" w:cstheme="minorHAnsi"/>
          <w:szCs w:val="22"/>
        </w:rPr>
        <w:t xml:space="preserve">If your institution is unincorporated, you should be aware that this will not prevent child abuse proceedings from being brought against your institution. </w:t>
      </w:r>
    </w:p>
    <w:sectPr w:rsidR="006A2F2D" w:rsidRPr="00206914" w:rsidSect="00CC571B">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14" w:rsidRDefault="007A7914" w:rsidP="007332FF">
      <w:r>
        <w:separator/>
      </w:r>
    </w:p>
  </w:endnote>
  <w:endnote w:type="continuationSeparator" w:id="0">
    <w:p w:rsidR="007A7914" w:rsidRDefault="007A791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rsidTr="001D258A">
      <w:trPr>
        <w:cantSplit/>
        <w:trHeight w:hRule="exact" w:val="567"/>
      </w:trPr>
      <w:tc>
        <w:tcPr>
          <w:tcW w:w="10318" w:type="dxa"/>
          <w:vAlign w:val="bottom"/>
        </w:tcPr>
        <w:p w:rsidR="00996655" w:rsidRPr="00750D2F" w:rsidRDefault="00996655" w:rsidP="00996655">
          <w:pPr>
            <w:spacing w:after="0"/>
            <w:rPr>
              <w:rStyle w:val="PageNumber"/>
            </w:rPr>
          </w:pPr>
          <w:r w:rsidRPr="00750D2F">
            <w:rPr>
              <w:rStyle w:val="PageNumber"/>
            </w:rPr>
            <w:t xml:space="preserve">Department of </w:t>
          </w:r>
          <w:r w:rsidR="006621A8" w:rsidRPr="006621A8">
            <w:rPr>
              <w:rStyle w:val="PageNumber"/>
            </w:rPr>
            <w:t>Attorney-General and Justice</w:t>
          </w:r>
          <w:r w:rsidR="006621A8">
            <w:rPr>
              <w:rStyle w:val="PageNumber"/>
              <w:b/>
            </w:rPr>
            <w:t xml:space="preserve"> </w:t>
          </w:r>
        </w:p>
        <w:p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95D4C">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95D4C">
            <w:rPr>
              <w:rStyle w:val="PageNumber"/>
              <w:noProof/>
            </w:rPr>
            <w:t>5</w:t>
          </w:r>
          <w:r w:rsidRPr="00AC4488">
            <w:rPr>
              <w:rStyle w:val="PageNumber"/>
            </w:rPr>
            <w:fldChar w:fldCharType="end"/>
          </w:r>
        </w:p>
      </w:tc>
    </w:tr>
  </w:tbl>
  <w:p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8" w:rsidRDefault="00D15D88" w:rsidP="00C0326E">
    <w:pPr>
      <w:spacing w:after="0"/>
    </w:pPr>
  </w:p>
  <w:p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rsidTr="008921B4">
      <w:trPr>
        <w:cantSplit/>
        <w:trHeight w:hRule="exact" w:val="1134"/>
      </w:trPr>
      <w:tc>
        <w:tcPr>
          <w:tcW w:w="7767" w:type="dxa"/>
          <w:vAlign w:val="bottom"/>
        </w:tcPr>
        <w:p w:rsidR="00901430" w:rsidRPr="006621A8" w:rsidRDefault="00901430" w:rsidP="00C0326E">
          <w:pPr>
            <w:spacing w:after="0"/>
            <w:rPr>
              <w:rStyle w:val="PageNumber"/>
            </w:rPr>
          </w:pPr>
          <w:r w:rsidRPr="006621A8">
            <w:rPr>
              <w:rStyle w:val="PageNumber"/>
            </w:rPr>
            <w:t xml:space="preserve">Department of </w:t>
          </w:r>
          <w:r w:rsidR="006621A8" w:rsidRPr="006621A8">
            <w:rPr>
              <w:sz w:val="19"/>
              <w:szCs w:val="19"/>
            </w:rPr>
            <w:t xml:space="preserve">Attorney-General and Justice </w:t>
          </w:r>
        </w:p>
        <w:p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195D4C">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195D4C">
            <w:rPr>
              <w:rStyle w:val="PageNumber"/>
              <w:noProof/>
            </w:rPr>
            <w:t>5</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rsidR="00C0326E" w:rsidRPr="001E14EB" w:rsidRDefault="00C0326E" w:rsidP="00C0326E">
          <w:pPr>
            <w:spacing w:after="0"/>
            <w:jc w:val="right"/>
          </w:pPr>
          <w:r>
            <w:rPr>
              <w:noProof/>
              <w:lang w:eastAsia="en-AU"/>
            </w:rPr>
            <w:drawing>
              <wp:inline distT="0" distB="0" distL="0" distR="0" wp14:anchorId="66058055" wp14:editId="7C1937C2">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14" w:rsidRDefault="007A7914" w:rsidP="007332FF">
      <w:r>
        <w:separator/>
      </w:r>
    </w:p>
  </w:footnote>
  <w:footnote w:type="continuationSeparator" w:id="0">
    <w:p w:rsidR="007A7914" w:rsidRDefault="007A7914"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7A7914"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r w:rsidR="00E0433B">
          <w:t>Civil Litigation Reform recommended by the Royal Commission into Institutional Responses to Child Sexual Abuse (RCIRCSA) Fact sheet 3: Proper Respondent and Continuity of Institutions for liability for institutional child abuse claims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8F1" w:rsidRPr="000E3ED2" w:rsidRDefault="00D61FD1" w:rsidP="00EB164C">
    <w:pPr>
      <w:pStyle w:val="Subtitle0"/>
    </w:pPr>
    <w: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A4B"/>
    <w:multiLevelType w:val="hybridMultilevel"/>
    <w:tmpl w:val="8C02AF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01A3CE9"/>
    <w:multiLevelType w:val="hybridMultilevel"/>
    <w:tmpl w:val="D43ED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C1A2324"/>
    <w:multiLevelType w:val="hybridMultilevel"/>
    <w:tmpl w:val="A4BC6D26"/>
    <w:lvl w:ilvl="0" w:tplc="59F8D428">
      <w:start w:val="1"/>
      <w:numFmt w:val="bullet"/>
      <w:pStyle w:val="Bulletpoints"/>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13DE6D0A">
      <w:start w:val="1"/>
      <w:numFmt w:val="lowerLetter"/>
      <w:lvlText w:val="(%5)"/>
      <w:lvlJc w:val="left"/>
      <w:pPr>
        <w:ind w:left="3600" w:hanging="360"/>
      </w:pPr>
      <w:rPr>
        <w:rFonts w:asciiTheme="minorHAnsi" w:hAnsiTheme="minorHAnsi" w:hint="default"/>
        <w:sz w:val="22"/>
        <w:szCs w:val="22"/>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BEF05D0"/>
    <w:multiLevelType w:val="hybridMultilevel"/>
    <w:tmpl w:val="668EACD0"/>
    <w:lvl w:ilvl="0" w:tplc="50F430D2">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2"/>
  </w:num>
  <w:num w:numId="3">
    <w:abstractNumId w:val="37"/>
  </w:num>
  <w:num w:numId="4">
    <w:abstractNumId w:val="23"/>
  </w:num>
  <w:num w:numId="5">
    <w:abstractNumId w:val="16"/>
  </w:num>
  <w:num w:numId="6">
    <w:abstractNumId w:val="8"/>
  </w:num>
  <w:num w:numId="7">
    <w:abstractNumId w:val="26"/>
  </w:num>
  <w:num w:numId="8">
    <w:abstractNumId w:val="15"/>
  </w:num>
  <w:num w:numId="9">
    <w:abstractNumId w:val="31"/>
  </w:num>
  <w:num w:numId="10">
    <w:abstractNumId w:val="0"/>
  </w:num>
  <w:num w:numId="11">
    <w:abstractNumId w:val="34"/>
  </w:num>
  <w:num w:numId="1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2E"/>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4404"/>
    <w:rsid w:val="001152F5"/>
    <w:rsid w:val="00117743"/>
    <w:rsid w:val="00117F5B"/>
    <w:rsid w:val="00122FC5"/>
    <w:rsid w:val="00127715"/>
    <w:rsid w:val="00132658"/>
    <w:rsid w:val="00150DC0"/>
    <w:rsid w:val="00156CD4"/>
    <w:rsid w:val="0016153B"/>
    <w:rsid w:val="00162207"/>
    <w:rsid w:val="00164A3E"/>
    <w:rsid w:val="00166FF6"/>
    <w:rsid w:val="00176123"/>
    <w:rsid w:val="00181620"/>
    <w:rsid w:val="00187130"/>
    <w:rsid w:val="001957AD"/>
    <w:rsid w:val="00195D4C"/>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14"/>
    <w:rsid w:val="00206936"/>
    <w:rsid w:val="00206C6F"/>
    <w:rsid w:val="00206FBD"/>
    <w:rsid w:val="00207746"/>
    <w:rsid w:val="00230031"/>
    <w:rsid w:val="00235C01"/>
    <w:rsid w:val="00247343"/>
    <w:rsid w:val="00265C56"/>
    <w:rsid w:val="002716CD"/>
    <w:rsid w:val="00274D4B"/>
    <w:rsid w:val="00277F61"/>
    <w:rsid w:val="002806F5"/>
    <w:rsid w:val="00281577"/>
    <w:rsid w:val="002926BC"/>
    <w:rsid w:val="00293A72"/>
    <w:rsid w:val="002A0160"/>
    <w:rsid w:val="002A30C3"/>
    <w:rsid w:val="002A6F6A"/>
    <w:rsid w:val="002A7712"/>
    <w:rsid w:val="002B38F7"/>
    <w:rsid w:val="002B4F50"/>
    <w:rsid w:val="002B5591"/>
    <w:rsid w:val="002B6AA4"/>
    <w:rsid w:val="002C1FE9"/>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3C2E"/>
    <w:rsid w:val="004047BC"/>
    <w:rsid w:val="004100F7"/>
    <w:rsid w:val="00414CB3"/>
    <w:rsid w:val="0041563D"/>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0040"/>
    <w:rsid w:val="00592E78"/>
    <w:rsid w:val="00595386"/>
    <w:rsid w:val="00597234"/>
    <w:rsid w:val="005A4AC0"/>
    <w:rsid w:val="005A5FDF"/>
    <w:rsid w:val="005B0FB7"/>
    <w:rsid w:val="005B122A"/>
    <w:rsid w:val="005B1FCB"/>
    <w:rsid w:val="005B5AC2"/>
    <w:rsid w:val="005C2833"/>
    <w:rsid w:val="005E144D"/>
    <w:rsid w:val="005E1500"/>
    <w:rsid w:val="005E3A43"/>
    <w:rsid w:val="005E3FC4"/>
    <w:rsid w:val="005F0B17"/>
    <w:rsid w:val="005F77C7"/>
    <w:rsid w:val="00620675"/>
    <w:rsid w:val="00622537"/>
    <w:rsid w:val="00622910"/>
    <w:rsid w:val="006254B6"/>
    <w:rsid w:val="00627FC8"/>
    <w:rsid w:val="006433C3"/>
    <w:rsid w:val="00650F5B"/>
    <w:rsid w:val="006621A8"/>
    <w:rsid w:val="006670D7"/>
    <w:rsid w:val="006719EA"/>
    <w:rsid w:val="00671F13"/>
    <w:rsid w:val="0067400A"/>
    <w:rsid w:val="006847AD"/>
    <w:rsid w:val="0069114B"/>
    <w:rsid w:val="006944C1"/>
    <w:rsid w:val="006A2F2D"/>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A7914"/>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634E"/>
    <w:rsid w:val="008313C4"/>
    <w:rsid w:val="00831ACB"/>
    <w:rsid w:val="00835434"/>
    <w:rsid w:val="008358C0"/>
    <w:rsid w:val="00837842"/>
    <w:rsid w:val="00842838"/>
    <w:rsid w:val="00854EC1"/>
    <w:rsid w:val="0085797F"/>
    <w:rsid w:val="00861DC3"/>
    <w:rsid w:val="00867019"/>
    <w:rsid w:val="00872EF1"/>
    <w:rsid w:val="008735A9"/>
    <w:rsid w:val="00877BC5"/>
    <w:rsid w:val="00877D20"/>
    <w:rsid w:val="00881C48"/>
    <w:rsid w:val="00884E2D"/>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510B"/>
    <w:rsid w:val="008F422B"/>
    <w:rsid w:val="00901430"/>
    <w:rsid w:val="00902B13"/>
    <w:rsid w:val="00911941"/>
    <w:rsid w:val="0092024D"/>
    <w:rsid w:val="00925146"/>
    <w:rsid w:val="00925F0F"/>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6857"/>
    <w:rsid w:val="00A746E4"/>
    <w:rsid w:val="00A76790"/>
    <w:rsid w:val="00A925EC"/>
    <w:rsid w:val="00A929AA"/>
    <w:rsid w:val="00A92B6B"/>
    <w:rsid w:val="00AA2657"/>
    <w:rsid w:val="00AA541E"/>
    <w:rsid w:val="00AB5413"/>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891"/>
    <w:rsid w:val="00BF2ABB"/>
    <w:rsid w:val="00BF5099"/>
    <w:rsid w:val="00BF549D"/>
    <w:rsid w:val="00C0326E"/>
    <w:rsid w:val="00C10F10"/>
    <w:rsid w:val="00C120DC"/>
    <w:rsid w:val="00C15D4D"/>
    <w:rsid w:val="00C175DC"/>
    <w:rsid w:val="00C30171"/>
    <w:rsid w:val="00C309D8"/>
    <w:rsid w:val="00C322B4"/>
    <w:rsid w:val="00C357F6"/>
    <w:rsid w:val="00C43519"/>
    <w:rsid w:val="00C45263"/>
    <w:rsid w:val="00C51537"/>
    <w:rsid w:val="00C52BC3"/>
    <w:rsid w:val="00C55B5A"/>
    <w:rsid w:val="00C61AFA"/>
    <w:rsid w:val="00C61D64"/>
    <w:rsid w:val="00C62099"/>
    <w:rsid w:val="00C64EA3"/>
    <w:rsid w:val="00C72867"/>
    <w:rsid w:val="00C75E81"/>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EBE"/>
    <w:rsid w:val="00D36A49"/>
    <w:rsid w:val="00D517C6"/>
    <w:rsid w:val="00D61FD1"/>
    <w:rsid w:val="00D63B85"/>
    <w:rsid w:val="00D71D84"/>
    <w:rsid w:val="00D72464"/>
    <w:rsid w:val="00D72A57"/>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5EA4"/>
    <w:rsid w:val="00E02681"/>
    <w:rsid w:val="00E02792"/>
    <w:rsid w:val="00E034D8"/>
    <w:rsid w:val="00E0433B"/>
    <w:rsid w:val="00E04CC0"/>
    <w:rsid w:val="00E15816"/>
    <w:rsid w:val="00E160D5"/>
    <w:rsid w:val="00E239FF"/>
    <w:rsid w:val="00E27D7B"/>
    <w:rsid w:val="00E30556"/>
    <w:rsid w:val="00E30981"/>
    <w:rsid w:val="00E33136"/>
    <w:rsid w:val="00E34D7C"/>
    <w:rsid w:val="00E36941"/>
    <w:rsid w:val="00E3723D"/>
    <w:rsid w:val="00E44B8A"/>
    <w:rsid w:val="00E44C89"/>
    <w:rsid w:val="00E457A6"/>
    <w:rsid w:val="00E52375"/>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14DA"/>
    <w:rsid w:val="00F02591"/>
    <w:rsid w:val="00F5696E"/>
    <w:rsid w:val="00F60EFF"/>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CDAF85-F2F2-43CC-8379-DC7CE2B8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customStyle="1" w:styleId="Bulletpoints">
    <w:name w:val="Bullet points"/>
    <w:link w:val="BulletpointsChar"/>
    <w:qFormat/>
    <w:rsid w:val="006621A8"/>
    <w:pPr>
      <w:numPr>
        <w:numId w:val="9"/>
      </w:numPr>
      <w:spacing w:before="240" w:after="240" w:line="360" w:lineRule="auto"/>
      <w:jc w:val="both"/>
    </w:pPr>
    <w:rPr>
      <w:rFonts w:ascii="Lato" w:eastAsiaTheme="minorEastAsia" w:hAnsi="Lato" w:cs="Arial"/>
      <w:iCs/>
      <w:szCs w:val="24"/>
    </w:rPr>
  </w:style>
  <w:style w:type="character" w:customStyle="1" w:styleId="BulletpointsChar">
    <w:name w:val="Bullet points Char"/>
    <w:basedOn w:val="DefaultParagraphFont"/>
    <w:link w:val="Bulletpoints"/>
    <w:rsid w:val="006621A8"/>
    <w:rPr>
      <w:rFonts w:ascii="Lato" w:eastAsiaTheme="minorEastAsia" w:hAnsi="Lato" w:cs="Arial"/>
      <w:iCs/>
      <w:szCs w:val="24"/>
    </w:rPr>
  </w:style>
  <w:style w:type="character" w:styleId="CommentReference">
    <w:name w:val="annotation reference"/>
    <w:basedOn w:val="DefaultParagraphFont"/>
    <w:uiPriority w:val="99"/>
    <w:semiHidden/>
    <w:unhideWhenUsed/>
    <w:rsid w:val="006621A8"/>
    <w:rPr>
      <w:sz w:val="16"/>
      <w:szCs w:val="16"/>
    </w:rPr>
  </w:style>
  <w:style w:type="paragraph" w:styleId="CommentText">
    <w:name w:val="annotation text"/>
    <w:basedOn w:val="Normal"/>
    <w:link w:val="CommentTextChar"/>
    <w:uiPriority w:val="99"/>
    <w:unhideWhenUsed/>
    <w:rsid w:val="006621A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621A8"/>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1541BA92764E73A7081F2BA76A5D3C"/>
        <w:category>
          <w:name w:val="General"/>
          <w:gallery w:val="placeholder"/>
        </w:category>
        <w:types>
          <w:type w:val="bbPlcHdr"/>
        </w:types>
        <w:behaviors>
          <w:behavior w:val="content"/>
        </w:behaviors>
        <w:guid w:val="{B4ECDC98-4B8B-4D93-B56F-762C9733F28F}"/>
      </w:docPartPr>
      <w:docPartBody>
        <w:p w:rsidR="00E6359B" w:rsidRDefault="008F0E33">
          <w:pPr>
            <w:pStyle w:val="881541BA92764E73A7081F2BA76A5D3C"/>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33"/>
    <w:rsid w:val="00651F72"/>
    <w:rsid w:val="006B53B8"/>
    <w:rsid w:val="008F0E33"/>
    <w:rsid w:val="00AD7E59"/>
    <w:rsid w:val="00C3374B"/>
    <w:rsid w:val="00E63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1541BA92764E73A7081F2BA76A5D3C">
    <w:name w:val="881541BA92764E73A7081F2BA76A5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AFA142-DDDC-49D3-A23A-256E7CCF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fact sheet.dotx</Template>
  <TotalTime>13</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Civil Litigation Reform recommended by the Royal Commission into Institutional Responses to Child Sexual Abuse (RCIRCSA) 
Fact sheet 3: Proper Respondent and Continuity of Institutions for liability for institutional child abuse claims</vt:lpstr>
    </vt:vector>
  </TitlesOfParts>
  <Company>&lt;NAME&gt;</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Litigation Reform recommended by the Royal Commission into Institutional Responses to Child Sexual Abuse (RCIRCSA) 
Fact sheet 3: Proper Respondent and Continuity of Institutions for liability for institutional child abuse claims</dc:title>
  <dc:creator>Northern Territory Government</dc:creator>
  <cp:lastModifiedBy>Andrea Ruske</cp:lastModifiedBy>
  <cp:revision>4</cp:revision>
  <cp:lastPrinted>2019-08-28T22:41:00Z</cp:lastPrinted>
  <dcterms:created xsi:type="dcterms:W3CDTF">2022-06-16T04:04:00Z</dcterms:created>
  <dcterms:modified xsi:type="dcterms:W3CDTF">2022-11-01T04:32:00Z</dcterms:modified>
</cp:coreProperties>
</file>