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2D36F" w14:textId="77777777" w:rsidR="003B38E2" w:rsidRPr="00C26AA1" w:rsidRDefault="003B38E2" w:rsidP="00770B78">
      <w:pPr>
        <w:keepNext/>
        <w:pBdr>
          <w:bottom w:val="single" w:sz="12" w:space="6" w:color="auto"/>
        </w:pBdr>
        <w:spacing w:after="120" w:line="360" w:lineRule="auto"/>
        <w:jc w:val="center"/>
        <w:outlineLvl w:val="0"/>
        <w:rPr>
          <w:rFonts w:ascii="Arial" w:hAnsi="Arial"/>
          <w:b/>
          <w:bCs/>
          <w:kern w:val="32"/>
          <w:sz w:val="32"/>
          <w:szCs w:val="32"/>
        </w:rPr>
      </w:pPr>
      <w:r w:rsidRPr="00C26AA1">
        <w:rPr>
          <w:rFonts w:ascii="Arial" w:hAnsi="Arial"/>
          <w:b/>
          <w:bCs/>
          <w:kern w:val="32"/>
          <w:sz w:val="32"/>
          <w:szCs w:val="32"/>
        </w:rPr>
        <w:t>Reasons for Decision</w:t>
      </w:r>
    </w:p>
    <w:p w14:paraId="30A62B7B" w14:textId="07250B94" w:rsidR="00DB64C1" w:rsidRPr="005F725E" w:rsidRDefault="00055A44" w:rsidP="003B38E2">
      <w:pPr>
        <w:overflowPunct w:val="0"/>
        <w:autoSpaceDE w:val="0"/>
        <w:autoSpaceDN w:val="0"/>
        <w:adjustRightInd w:val="0"/>
        <w:spacing w:after="200"/>
        <w:ind w:left="2835" w:hanging="2835"/>
        <w:outlineLvl w:val="0"/>
        <w:rPr>
          <w:rFonts w:ascii="Arial" w:hAnsi="Arial"/>
          <w:szCs w:val="20"/>
        </w:rPr>
      </w:pPr>
      <w:r>
        <w:rPr>
          <w:rFonts w:ascii="Arial" w:hAnsi="Arial"/>
          <w:b/>
          <w:szCs w:val="20"/>
        </w:rPr>
        <w:t>Complainant</w:t>
      </w:r>
      <w:r w:rsidR="00DB64C1">
        <w:rPr>
          <w:rFonts w:ascii="Arial" w:hAnsi="Arial"/>
          <w:b/>
          <w:szCs w:val="20"/>
        </w:rPr>
        <w:t>:</w:t>
      </w:r>
      <w:r w:rsidR="00DB64C1">
        <w:rPr>
          <w:rFonts w:ascii="Arial" w:hAnsi="Arial"/>
          <w:b/>
          <w:szCs w:val="20"/>
        </w:rPr>
        <w:tab/>
      </w:r>
      <w:r w:rsidR="00F23A89" w:rsidRPr="00F23A89">
        <w:rPr>
          <w:rFonts w:ascii="Arial" w:hAnsi="Arial"/>
          <w:szCs w:val="20"/>
        </w:rPr>
        <w:t xml:space="preserve">Mr </w:t>
      </w:r>
      <w:r w:rsidR="00E96AE3">
        <w:rPr>
          <w:rFonts w:ascii="Arial" w:hAnsi="Arial"/>
          <w:szCs w:val="20"/>
        </w:rPr>
        <w:t>W</w:t>
      </w:r>
    </w:p>
    <w:p w14:paraId="71DEE592" w14:textId="2758827A" w:rsidR="003B38E2" w:rsidRPr="005F725E" w:rsidRDefault="003B38E2" w:rsidP="003B38E2">
      <w:pPr>
        <w:overflowPunct w:val="0"/>
        <w:autoSpaceDE w:val="0"/>
        <w:autoSpaceDN w:val="0"/>
        <w:adjustRightInd w:val="0"/>
        <w:spacing w:after="200"/>
        <w:ind w:left="2835" w:hanging="2835"/>
        <w:outlineLvl w:val="0"/>
        <w:rPr>
          <w:rFonts w:ascii="Arial" w:hAnsi="Arial" w:cs="Arial"/>
          <w:lang w:val="en-GB"/>
        </w:rPr>
      </w:pPr>
      <w:r w:rsidRPr="00CE4353">
        <w:rPr>
          <w:rFonts w:ascii="Arial" w:hAnsi="Arial"/>
          <w:b/>
          <w:szCs w:val="20"/>
        </w:rPr>
        <w:t>Licensee</w:t>
      </w:r>
      <w:r w:rsidRPr="00C05A58">
        <w:rPr>
          <w:rFonts w:ascii="Arial" w:hAnsi="Arial" w:cs="Arial"/>
          <w:b/>
          <w:lang w:val="en-GB"/>
        </w:rPr>
        <w:t>:</w:t>
      </w:r>
      <w:r w:rsidRPr="00C05A58">
        <w:rPr>
          <w:rFonts w:ascii="Arial" w:hAnsi="Arial" w:cs="Arial"/>
          <w:b/>
          <w:lang w:val="en-GB"/>
        </w:rPr>
        <w:tab/>
      </w:r>
      <w:r w:rsidR="00F23A89" w:rsidRPr="00F23A89">
        <w:rPr>
          <w:rFonts w:ascii="Arial" w:hAnsi="Arial" w:cs="Arial"/>
          <w:lang w:val="en-GB"/>
        </w:rPr>
        <w:t>Pointsbet Australia Pty Ltd</w:t>
      </w:r>
    </w:p>
    <w:p w14:paraId="0F1A14B8" w14:textId="6767E1CC" w:rsidR="003B38E2" w:rsidRPr="00F23A89" w:rsidRDefault="003B38E2" w:rsidP="003B38E2">
      <w:pPr>
        <w:spacing w:after="200"/>
        <w:ind w:left="2835" w:hanging="2835"/>
        <w:rPr>
          <w:rFonts w:ascii="Arial" w:hAnsi="Arial" w:cs="Arial"/>
          <w:lang w:val="en-GB"/>
        </w:rPr>
      </w:pPr>
      <w:r w:rsidRPr="00CE4353">
        <w:rPr>
          <w:rFonts w:ascii="Arial" w:hAnsi="Arial"/>
          <w:b/>
          <w:szCs w:val="20"/>
        </w:rPr>
        <w:t>Proceedings</w:t>
      </w:r>
      <w:r w:rsidRPr="00C05A58">
        <w:rPr>
          <w:rFonts w:ascii="Arial" w:hAnsi="Arial" w:cs="Arial"/>
          <w:b/>
          <w:lang w:val="en-GB"/>
        </w:rPr>
        <w:t>:</w:t>
      </w:r>
      <w:r w:rsidRPr="00C05A58">
        <w:rPr>
          <w:rFonts w:ascii="Arial" w:hAnsi="Arial" w:cs="Arial"/>
          <w:b/>
          <w:lang w:val="en-GB"/>
        </w:rPr>
        <w:tab/>
      </w:r>
      <w:r w:rsidR="008E5F56" w:rsidRPr="005463CA">
        <w:rPr>
          <w:rFonts w:ascii="Arial" w:hAnsi="Arial" w:cs="Arial"/>
        </w:rPr>
        <w:t>Pursu</w:t>
      </w:r>
      <w:r w:rsidR="008E5F56">
        <w:rPr>
          <w:rFonts w:ascii="Arial" w:hAnsi="Arial" w:cs="Arial"/>
        </w:rPr>
        <w:t>ant t</w:t>
      </w:r>
      <w:r w:rsidR="008E5F56" w:rsidRPr="005463CA">
        <w:rPr>
          <w:rFonts w:ascii="Arial" w:hAnsi="Arial" w:cs="Arial"/>
        </w:rPr>
        <w:t>o Section</w:t>
      </w:r>
      <w:r w:rsidR="003E4F8E">
        <w:rPr>
          <w:rFonts w:ascii="Arial" w:hAnsi="Arial" w:cs="Arial"/>
        </w:rPr>
        <w:t xml:space="preserve"> </w:t>
      </w:r>
      <w:r w:rsidR="00F23A89">
        <w:rPr>
          <w:rFonts w:ascii="Arial" w:hAnsi="Arial" w:cs="Arial"/>
        </w:rPr>
        <w:t>85(4)</w:t>
      </w:r>
      <w:r w:rsidR="008E5F56" w:rsidRPr="005463CA">
        <w:rPr>
          <w:rFonts w:ascii="Arial" w:hAnsi="Arial" w:cs="Arial"/>
        </w:rPr>
        <w:t xml:space="preserve"> </w:t>
      </w:r>
      <w:r w:rsidR="008E5F56">
        <w:rPr>
          <w:rFonts w:ascii="Arial" w:hAnsi="Arial" w:cs="Arial"/>
        </w:rPr>
        <w:t>o</w:t>
      </w:r>
      <w:r w:rsidR="008E5F56" w:rsidRPr="005463CA">
        <w:rPr>
          <w:rFonts w:ascii="Arial" w:hAnsi="Arial" w:cs="Arial"/>
        </w:rPr>
        <w:t xml:space="preserve">f </w:t>
      </w:r>
      <w:r w:rsidR="008E5F56">
        <w:rPr>
          <w:rFonts w:ascii="Arial" w:hAnsi="Arial" w:cs="Arial"/>
        </w:rPr>
        <w:t>t</w:t>
      </w:r>
      <w:r w:rsidR="008E5F56" w:rsidRPr="005463CA">
        <w:rPr>
          <w:rFonts w:ascii="Arial" w:hAnsi="Arial" w:cs="Arial"/>
        </w:rPr>
        <w:t xml:space="preserve">he </w:t>
      </w:r>
      <w:r w:rsidR="008E5F56">
        <w:rPr>
          <w:rFonts w:ascii="Arial" w:hAnsi="Arial" w:cs="Arial"/>
          <w:i/>
        </w:rPr>
        <w:t>Racing a</w:t>
      </w:r>
      <w:r w:rsidR="008E5F56" w:rsidRPr="005463CA">
        <w:rPr>
          <w:rFonts w:ascii="Arial" w:hAnsi="Arial" w:cs="Arial"/>
          <w:i/>
        </w:rPr>
        <w:t xml:space="preserve">nd Betting </w:t>
      </w:r>
      <w:r w:rsidR="008E5F56">
        <w:rPr>
          <w:rFonts w:ascii="Arial" w:hAnsi="Arial" w:cs="Arial"/>
          <w:i/>
        </w:rPr>
        <w:t>Act</w:t>
      </w:r>
      <w:r w:rsidR="008E5F56" w:rsidRPr="005463CA">
        <w:rPr>
          <w:rFonts w:ascii="Arial" w:hAnsi="Arial" w:cs="Arial"/>
        </w:rPr>
        <w:t xml:space="preserve"> –</w:t>
      </w:r>
      <w:r w:rsidR="000716C2">
        <w:rPr>
          <w:rFonts w:ascii="Arial" w:hAnsi="Arial" w:cs="Arial"/>
        </w:rPr>
        <w:t xml:space="preserve"> </w:t>
      </w:r>
      <w:r w:rsidR="000716C2">
        <w:rPr>
          <w:rFonts w:ascii="Arial" w:hAnsi="Arial" w:cs="Arial"/>
        </w:rPr>
        <w:br/>
      </w:r>
      <w:r w:rsidR="00F23A89">
        <w:rPr>
          <w:rFonts w:ascii="Arial" w:hAnsi="Arial" w:cs="Arial"/>
        </w:rPr>
        <w:t xml:space="preserve">Referral of dispute to NT Racing Commission for </w:t>
      </w:r>
      <w:r w:rsidR="00F23A89" w:rsidRPr="00F23A89">
        <w:rPr>
          <w:rFonts w:ascii="Arial" w:hAnsi="Arial" w:cs="Arial"/>
        </w:rPr>
        <w:t>determination.</w:t>
      </w:r>
    </w:p>
    <w:p w14:paraId="769981ED" w14:textId="2C894F91" w:rsidR="003E4F8E" w:rsidRPr="00F23A89" w:rsidRDefault="003B38E2" w:rsidP="008E5F56">
      <w:pPr>
        <w:ind w:left="2835" w:hanging="2835"/>
        <w:rPr>
          <w:rFonts w:ascii="Arial" w:hAnsi="Arial" w:cs="Arial"/>
          <w:lang w:val="en-GB"/>
        </w:rPr>
      </w:pPr>
      <w:r w:rsidRPr="00F23A89">
        <w:rPr>
          <w:rFonts w:ascii="Arial" w:hAnsi="Arial"/>
          <w:b/>
          <w:szCs w:val="20"/>
        </w:rPr>
        <w:t>Heard Before</w:t>
      </w:r>
      <w:r w:rsidRPr="00F23A89">
        <w:rPr>
          <w:rFonts w:ascii="Arial" w:hAnsi="Arial" w:cs="Arial"/>
          <w:b/>
          <w:lang w:val="en-GB"/>
        </w:rPr>
        <w:t>:</w:t>
      </w:r>
      <w:r w:rsidRPr="00F23A89">
        <w:rPr>
          <w:rFonts w:ascii="Arial" w:hAnsi="Arial" w:cs="Arial"/>
          <w:b/>
          <w:lang w:val="en-GB"/>
        </w:rPr>
        <w:tab/>
      </w:r>
      <w:r w:rsidR="00F23A89" w:rsidRPr="00F23A89">
        <w:rPr>
          <w:rFonts w:ascii="Arial" w:hAnsi="Arial" w:cs="Arial"/>
          <w:lang w:val="en-GB"/>
        </w:rPr>
        <w:t>Mr John Boneham</w:t>
      </w:r>
      <w:r w:rsidR="000716C2" w:rsidRPr="00F23A89">
        <w:rPr>
          <w:rFonts w:ascii="Arial" w:hAnsi="Arial" w:cs="Arial"/>
          <w:lang w:val="en-GB"/>
        </w:rPr>
        <w:t xml:space="preserve"> (Presiding Member)</w:t>
      </w:r>
    </w:p>
    <w:p w14:paraId="7A1A4BF1" w14:textId="57D96669" w:rsidR="008E5F56" w:rsidRDefault="00DB64C1" w:rsidP="008E5F56">
      <w:pPr>
        <w:ind w:left="2835" w:hanging="2835"/>
        <w:rPr>
          <w:rFonts w:ascii="Arial" w:hAnsi="Arial" w:cs="Arial"/>
        </w:rPr>
      </w:pPr>
      <w:r w:rsidRPr="00055A44">
        <w:rPr>
          <w:rFonts w:ascii="Arial" w:hAnsi="Arial" w:cs="Arial"/>
          <w:b/>
        </w:rPr>
        <w:t>(on papers)</w:t>
      </w:r>
      <w:r w:rsidR="003E4F8E" w:rsidRPr="00055A44">
        <w:rPr>
          <w:rFonts w:ascii="Arial" w:hAnsi="Arial" w:cs="Arial"/>
          <w:b/>
        </w:rPr>
        <w:tab/>
      </w:r>
      <w:r w:rsidR="00F23A89">
        <w:rPr>
          <w:rFonts w:ascii="Arial" w:hAnsi="Arial" w:cs="Arial"/>
        </w:rPr>
        <w:t>Mr Andrew Maloney</w:t>
      </w:r>
    </w:p>
    <w:p w14:paraId="5DE05DA7" w14:textId="397CCF39" w:rsidR="003E4F8E" w:rsidRPr="003E4F8E" w:rsidRDefault="003E4F8E" w:rsidP="008E5F56">
      <w:pPr>
        <w:ind w:left="2835" w:hanging="2835"/>
        <w:rPr>
          <w:rFonts w:ascii="Arial" w:hAnsi="Arial" w:cs="Arial"/>
        </w:rPr>
      </w:pPr>
      <w:r w:rsidRPr="003E4F8E">
        <w:rPr>
          <w:rFonts w:ascii="Arial" w:hAnsi="Arial" w:cs="Arial"/>
        </w:rPr>
        <w:tab/>
      </w:r>
      <w:r w:rsidR="00F23A89">
        <w:rPr>
          <w:rFonts w:ascii="Arial" w:hAnsi="Arial" w:cs="Arial"/>
        </w:rPr>
        <w:t>Mr Jim McNally</w:t>
      </w:r>
    </w:p>
    <w:p w14:paraId="0375A850" w14:textId="77777777" w:rsidR="005F725E" w:rsidRPr="005F725E" w:rsidRDefault="00DB64C1" w:rsidP="008E5F56">
      <w:pPr>
        <w:ind w:left="2835" w:hanging="2835"/>
        <w:rPr>
          <w:rFonts w:ascii="Arial" w:hAnsi="Arial" w:cs="Arial"/>
        </w:rPr>
      </w:pPr>
      <w:r w:rsidRPr="005F725E">
        <w:rPr>
          <w:rFonts w:ascii="Arial" w:hAnsi="Arial" w:cs="Arial"/>
          <w:b/>
        </w:rPr>
        <w:tab/>
      </w:r>
    </w:p>
    <w:p w14:paraId="53C6B3F7" w14:textId="4BAC4C2C" w:rsidR="003B38E2" w:rsidRPr="005F725E" w:rsidRDefault="003B38E2" w:rsidP="003B38E2">
      <w:pPr>
        <w:spacing w:after="200"/>
        <w:ind w:left="2835" w:hanging="2835"/>
        <w:rPr>
          <w:rFonts w:ascii="Arial" w:hAnsi="Arial" w:cs="Arial"/>
        </w:rPr>
      </w:pPr>
      <w:r>
        <w:rPr>
          <w:rFonts w:ascii="Arial" w:hAnsi="Arial" w:cs="Arial"/>
          <w:b/>
        </w:rPr>
        <w:t xml:space="preserve">Date of </w:t>
      </w:r>
      <w:r w:rsidRPr="00A30195">
        <w:rPr>
          <w:rFonts w:ascii="Arial" w:hAnsi="Arial"/>
          <w:b/>
          <w:szCs w:val="20"/>
        </w:rPr>
        <w:t>Decision</w:t>
      </w:r>
      <w:r>
        <w:rPr>
          <w:rFonts w:ascii="Arial" w:hAnsi="Arial" w:cs="Arial"/>
          <w:b/>
        </w:rPr>
        <w:t>:</w:t>
      </w:r>
      <w:r>
        <w:rPr>
          <w:rFonts w:ascii="Arial" w:hAnsi="Arial" w:cs="Arial"/>
          <w:b/>
        </w:rPr>
        <w:tab/>
      </w:r>
      <w:r w:rsidR="00F23A89">
        <w:rPr>
          <w:rFonts w:ascii="Arial" w:hAnsi="Arial" w:cs="Arial"/>
        </w:rPr>
        <w:t>13 February 2018</w:t>
      </w:r>
    </w:p>
    <w:p w14:paraId="08F2FFB2" w14:textId="77777777" w:rsidR="003B38E2" w:rsidRPr="00A30195" w:rsidRDefault="003B38E2" w:rsidP="003B38E2">
      <w:pPr>
        <w:pStyle w:val="BottomLine"/>
      </w:pPr>
    </w:p>
    <w:p w14:paraId="6D4817E4" w14:textId="77777777" w:rsidR="0012027A" w:rsidRPr="008E5F56" w:rsidRDefault="008E5F56" w:rsidP="00313A54">
      <w:pPr>
        <w:pStyle w:val="Heading2"/>
        <w:spacing w:before="280" w:line="360" w:lineRule="auto"/>
        <w:rPr>
          <w:rFonts w:cs="Arial"/>
        </w:rPr>
      </w:pPr>
      <w:r w:rsidRPr="008E5F56">
        <w:rPr>
          <w:rFonts w:cs="Arial"/>
        </w:rPr>
        <w:t>Background</w:t>
      </w:r>
    </w:p>
    <w:p w14:paraId="0D99DF8E" w14:textId="0CBFEDE7" w:rsidR="00F23A89" w:rsidRDefault="00F23A89" w:rsidP="00F23A89">
      <w:pPr>
        <w:pStyle w:val="ListParagraph"/>
        <w:numPr>
          <w:ilvl w:val="0"/>
          <w:numId w:val="16"/>
        </w:numPr>
        <w:spacing w:line="276" w:lineRule="auto"/>
        <w:ind w:left="567" w:hanging="425"/>
        <w:contextualSpacing/>
        <w:jc w:val="both"/>
        <w:rPr>
          <w:rFonts w:ascii="Arial" w:hAnsi="Arial" w:cs="Arial"/>
          <w:i/>
        </w:rPr>
      </w:pPr>
      <w:r>
        <w:rPr>
          <w:rFonts w:ascii="Arial" w:hAnsi="Arial" w:cs="Arial"/>
        </w:rPr>
        <w:t>On 11 June 2017, Licencing NT received notice of a gam</w:t>
      </w:r>
      <w:r w:rsidR="00E96AE3">
        <w:rPr>
          <w:rFonts w:ascii="Arial" w:hAnsi="Arial" w:cs="Arial"/>
        </w:rPr>
        <w:t xml:space="preserve">bling dispute lodged by </w:t>
      </w:r>
      <w:r w:rsidR="00E96AE3">
        <w:rPr>
          <w:rFonts w:ascii="Arial" w:hAnsi="Arial" w:cs="Arial"/>
        </w:rPr>
        <w:br/>
        <w:t xml:space="preserve">Mr </w:t>
      </w:r>
      <w:r>
        <w:rPr>
          <w:rFonts w:ascii="Arial" w:hAnsi="Arial" w:cs="Arial"/>
        </w:rPr>
        <w:t>W against licenced bookmaker Pointsbet Australia Pty Ltd.</w:t>
      </w:r>
    </w:p>
    <w:p w14:paraId="6321F4EB" w14:textId="77777777" w:rsidR="00F23A89" w:rsidRPr="00D32836" w:rsidRDefault="00F23A89" w:rsidP="00F23A89">
      <w:pPr>
        <w:ind w:left="567" w:hanging="425"/>
        <w:jc w:val="both"/>
        <w:rPr>
          <w:rFonts w:ascii="Arial" w:hAnsi="Arial" w:cs="Arial"/>
          <w:i/>
        </w:rPr>
      </w:pPr>
    </w:p>
    <w:p w14:paraId="28BDCD44" w14:textId="4C17D652" w:rsidR="00F23A89" w:rsidRDefault="00F23A89" w:rsidP="00F23A89">
      <w:pPr>
        <w:pStyle w:val="ListParagraph"/>
        <w:numPr>
          <w:ilvl w:val="0"/>
          <w:numId w:val="16"/>
        </w:numPr>
        <w:spacing w:line="276" w:lineRule="auto"/>
        <w:ind w:left="567" w:hanging="425"/>
        <w:contextualSpacing/>
        <w:jc w:val="both"/>
        <w:rPr>
          <w:rFonts w:ascii="Arial" w:hAnsi="Arial" w:cs="Arial"/>
        </w:rPr>
      </w:pPr>
      <w:r>
        <w:rPr>
          <w:rFonts w:ascii="Arial" w:hAnsi="Arial" w:cs="Arial"/>
        </w:rPr>
        <w:t xml:space="preserve">In his submission Mr </w:t>
      </w:r>
      <w:r w:rsidR="00E96AE3">
        <w:rPr>
          <w:rFonts w:ascii="Arial" w:hAnsi="Arial" w:cs="Arial"/>
        </w:rPr>
        <w:t>W</w:t>
      </w:r>
      <w:r>
        <w:rPr>
          <w:rFonts w:ascii="Arial" w:hAnsi="Arial" w:cs="Arial"/>
        </w:rPr>
        <w:t xml:space="preserve"> advises in part he “had an account with Pointsbet that closed due to gambling ruining my life.  My credit limit was $1000, but they let me bet up to $2000.  I do not have the money to repay them and have requested that they help by writing the debt off”.</w:t>
      </w:r>
    </w:p>
    <w:p w14:paraId="147860C7" w14:textId="77777777" w:rsidR="00F23A89" w:rsidRPr="00350B75" w:rsidRDefault="00F23A89" w:rsidP="00F23A89">
      <w:pPr>
        <w:ind w:left="567" w:hanging="425"/>
        <w:jc w:val="both"/>
        <w:rPr>
          <w:rFonts w:ascii="Arial" w:hAnsi="Arial" w:cs="Arial"/>
        </w:rPr>
      </w:pPr>
    </w:p>
    <w:p w14:paraId="6925792C" w14:textId="2E61C3DB" w:rsidR="00F23A89" w:rsidRPr="002311E9" w:rsidRDefault="00F23A89" w:rsidP="00F23A89">
      <w:pPr>
        <w:pStyle w:val="ListParagraph"/>
        <w:numPr>
          <w:ilvl w:val="0"/>
          <w:numId w:val="16"/>
        </w:numPr>
        <w:spacing w:line="276" w:lineRule="auto"/>
        <w:ind w:left="567" w:hanging="425"/>
        <w:contextualSpacing/>
        <w:jc w:val="both"/>
        <w:rPr>
          <w:rFonts w:ascii="Arial" w:hAnsi="Arial" w:cs="Arial"/>
          <w:i/>
        </w:rPr>
      </w:pPr>
      <w:r>
        <w:rPr>
          <w:rFonts w:ascii="Arial" w:hAnsi="Arial" w:cs="Arial"/>
        </w:rPr>
        <w:t xml:space="preserve">Mr </w:t>
      </w:r>
      <w:r w:rsidR="00E96AE3">
        <w:rPr>
          <w:rFonts w:ascii="Arial" w:hAnsi="Arial" w:cs="Arial"/>
        </w:rPr>
        <w:t>W</w:t>
      </w:r>
      <w:r>
        <w:rPr>
          <w:rFonts w:ascii="Arial" w:hAnsi="Arial" w:cs="Arial"/>
        </w:rPr>
        <w:t xml:space="preserve"> goes on to say “their contact is Greg Reynard and he emailed me and said I will send you literature about problem gambling.  I never received that.  I had also requested literature on suicide prevention and never received that either”.</w:t>
      </w:r>
    </w:p>
    <w:p w14:paraId="5DA686BE" w14:textId="77777777" w:rsidR="00F23A89" w:rsidRPr="002311E9" w:rsidRDefault="00F23A89" w:rsidP="00F23A89">
      <w:pPr>
        <w:ind w:left="567" w:hanging="425"/>
        <w:jc w:val="both"/>
        <w:rPr>
          <w:rFonts w:ascii="Arial" w:hAnsi="Arial" w:cs="Arial"/>
          <w:i/>
        </w:rPr>
      </w:pPr>
    </w:p>
    <w:p w14:paraId="588C073B" w14:textId="52114B4D" w:rsidR="00F23A89" w:rsidRDefault="00F23A89" w:rsidP="00F23A89">
      <w:pPr>
        <w:pStyle w:val="ListParagraph"/>
        <w:numPr>
          <w:ilvl w:val="0"/>
          <w:numId w:val="16"/>
        </w:numPr>
        <w:spacing w:line="276" w:lineRule="auto"/>
        <w:ind w:left="567" w:hanging="425"/>
        <w:contextualSpacing/>
        <w:jc w:val="both"/>
        <w:rPr>
          <w:rFonts w:ascii="Arial" w:hAnsi="Arial" w:cs="Arial"/>
        </w:rPr>
      </w:pPr>
      <w:r>
        <w:rPr>
          <w:rFonts w:ascii="Arial" w:hAnsi="Arial" w:cs="Arial"/>
        </w:rPr>
        <w:t xml:space="preserve">The Commission investigator subsequently sought further information from both the client and bookmaker around the establishment processes for the Deferred Settlement Facility ((DSF), the account conduct during the account operating period (July through August 2017) and the allegation that the bookmaker failed to provide responsible gambling information that Mr </w:t>
      </w:r>
      <w:r w:rsidR="00E96AE3">
        <w:rPr>
          <w:rFonts w:ascii="Arial" w:hAnsi="Arial" w:cs="Arial"/>
        </w:rPr>
        <w:t>W</w:t>
      </w:r>
      <w:r>
        <w:rPr>
          <w:rFonts w:ascii="Arial" w:hAnsi="Arial" w:cs="Arial"/>
        </w:rPr>
        <w:t xml:space="preserve"> had requested.</w:t>
      </w:r>
    </w:p>
    <w:p w14:paraId="0EFE44F8" w14:textId="77777777" w:rsidR="00F23A89" w:rsidRDefault="00F23A89" w:rsidP="00F23A89">
      <w:pPr>
        <w:ind w:left="567" w:hanging="425"/>
        <w:jc w:val="both"/>
        <w:rPr>
          <w:rFonts w:ascii="Arial" w:hAnsi="Arial" w:cs="Arial"/>
        </w:rPr>
      </w:pPr>
    </w:p>
    <w:p w14:paraId="4BA88C19" w14:textId="77777777" w:rsidR="00F23A89" w:rsidRDefault="00F23A89" w:rsidP="00F23A89">
      <w:pPr>
        <w:pStyle w:val="ListParagraph"/>
        <w:numPr>
          <w:ilvl w:val="0"/>
          <w:numId w:val="16"/>
        </w:numPr>
        <w:spacing w:line="276" w:lineRule="auto"/>
        <w:ind w:left="567" w:hanging="425"/>
        <w:contextualSpacing/>
        <w:jc w:val="both"/>
        <w:rPr>
          <w:rFonts w:ascii="Arial" w:hAnsi="Arial" w:cs="Arial"/>
        </w:rPr>
      </w:pPr>
      <w:r>
        <w:rPr>
          <w:rFonts w:ascii="Arial" w:hAnsi="Arial" w:cs="Arial"/>
        </w:rPr>
        <w:t>On 18 July 2017, the bookmaker confirmed that information around responsible gambling was not initially provided, due to an “oversight”.</w:t>
      </w:r>
    </w:p>
    <w:p w14:paraId="1C138927" w14:textId="77777777" w:rsidR="00F23A89" w:rsidRDefault="00F23A89" w:rsidP="00F23A89">
      <w:pPr>
        <w:ind w:left="567" w:hanging="425"/>
        <w:jc w:val="both"/>
        <w:rPr>
          <w:rFonts w:ascii="Arial" w:hAnsi="Arial" w:cs="Arial"/>
        </w:rPr>
      </w:pPr>
    </w:p>
    <w:p w14:paraId="3481707D" w14:textId="77777777" w:rsidR="00F23A89" w:rsidRDefault="00F23A89" w:rsidP="00F23A89">
      <w:pPr>
        <w:pStyle w:val="ListParagraph"/>
        <w:numPr>
          <w:ilvl w:val="0"/>
          <w:numId w:val="16"/>
        </w:numPr>
        <w:spacing w:line="276" w:lineRule="auto"/>
        <w:ind w:left="567" w:hanging="425"/>
        <w:contextualSpacing/>
        <w:jc w:val="both"/>
        <w:rPr>
          <w:rFonts w:ascii="Arial" w:hAnsi="Arial" w:cs="Arial"/>
        </w:rPr>
      </w:pPr>
      <w:r>
        <w:rPr>
          <w:rFonts w:ascii="Arial" w:hAnsi="Arial" w:cs="Arial"/>
        </w:rPr>
        <w:t xml:space="preserve">Furthermore the bookmaker advises that the client “was pre-approved for the DSF limit of $500 on condition of a matching deposit. No credit history check was undertaken”. </w:t>
      </w:r>
    </w:p>
    <w:p w14:paraId="64C544A6" w14:textId="77777777" w:rsidR="00F23A89" w:rsidRPr="00CE651B" w:rsidRDefault="00F23A89" w:rsidP="00F23A89">
      <w:pPr>
        <w:pStyle w:val="ListParagraph"/>
        <w:ind w:left="567" w:hanging="425"/>
        <w:jc w:val="both"/>
        <w:rPr>
          <w:rFonts w:ascii="Arial" w:hAnsi="Arial" w:cs="Arial"/>
        </w:rPr>
      </w:pPr>
    </w:p>
    <w:p w14:paraId="7EE77AF4" w14:textId="77777777" w:rsidR="00F23A89" w:rsidRDefault="00F23A89" w:rsidP="00F23A89">
      <w:pPr>
        <w:pStyle w:val="ListParagraph"/>
        <w:numPr>
          <w:ilvl w:val="0"/>
          <w:numId w:val="16"/>
        </w:numPr>
        <w:spacing w:line="276" w:lineRule="auto"/>
        <w:ind w:left="567" w:hanging="425"/>
        <w:contextualSpacing/>
        <w:jc w:val="both"/>
        <w:rPr>
          <w:rFonts w:ascii="Arial" w:hAnsi="Arial" w:cs="Arial"/>
        </w:rPr>
      </w:pPr>
      <w:r>
        <w:rPr>
          <w:rFonts w:ascii="Arial" w:hAnsi="Arial" w:cs="Arial"/>
        </w:rPr>
        <w:t>The client requested an increase in the DSF limit on 24 June 2017, this request being made and approved by phone, once again without any credit enquiries having been made.</w:t>
      </w:r>
    </w:p>
    <w:p w14:paraId="1164DD00" w14:textId="77777777" w:rsidR="00F23A89" w:rsidRPr="00E93E2A" w:rsidRDefault="00F23A89" w:rsidP="00F23A89">
      <w:pPr>
        <w:ind w:left="567" w:hanging="425"/>
        <w:jc w:val="both"/>
        <w:rPr>
          <w:rFonts w:ascii="Arial" w:hAnsi="Arial" w:cs="Arial"/>
        </w:rPr>
      </w:pPr>
    </w:p>
    <w:p w14:paraId="657F144D" w14:textId="3C844207" w:rsidR="00F23A89" w:rsidRDefault="00F23A89" w:rsidP="00F23A89">
      <w:pPr>
        <w:pStyle w:val="ListParagraph"/>
        <w:numPr>
          <w:ilvl w:val="0"/>
          <w:numId w:val="16"/>
        </w:numPr>
        <w:spacing w:line="276" w:lineRule="auto"/>
        <w:ind w:left="567" w:hanging="425"/>
        <w:contextualSpacing/>
        <w:jc w:val="both"/>
        <w:rPr>
          <w:rFonts w:ascii="Arial" w:hAnsi="Arial" w:cs="Arial"/>
        </w:rPr>
      </w:pPr>
      <w:r>
        <w:rPr>
          <w:rFonts w:ascii="Arial" w:hAnsi="Arial" w:cs="Arial"/>
        </w:rPr>
        <w:t xml:space="preserve">Mr </w:t>
      </w:r>
      <w:r w:rsidR="00E96AE3">
        <w:rPr>
          <w:rFonts w:ascii="Arial" w:hAnsi="Arial" w:cs="Arial"/>
        </w:rPr>
        <w:t>W</w:t>
      </w:r>
      <w:r>
        <w:rPr>
          <w:rFonts w:ascii="Arial" w:hAnsi="Arial" w:cs="Arial"/>
        </w:rPr>
        <w:t>’s account was a Spread Betting Contract with an attached DSF.</w:t>
      </w:r>
    </w:p>
    <w:p w14:paraId="573ABCDE" w14:textId="77777777" w:rsidR="00F23A89" w:rsidRDefault="00F23A89" w:rsidP="00F23A89">
      <w:pPr>
        <w:ind w:left="567" w:hanging="425"/>
        <w:jc w:val="both"/>
        <w:rPr>
          <w:rFonts w:ascii="Arial" w:hAnsi="Arial" w:cs="Arial"/>
        </w:rPr>
      </w:pPr>
    </w:p>
    <w:p w14:paraId="036C63E6" w14:textId="77777777" w:rsidR="00F23A89" w:rsidRDefault="00F23A89" w:rsidP="00F23A89">
      <w:pPr>
        <w:pStyle w:val="ListParagraph"/>
        <w:numPr>
          <w:ilvl w:val="0"/>
          <w:numId w:val="16"/>
        </w:numPr>
        <w:spacing w:line="276" w:lineRule="auto"/>
        <w:ind w:left="567" w:hanging="425"/>
        <w:contextualSpacing/>
        <w:jc w:val="both"/>
        <w:rPr>
          <w:rFonts w:ascii="Arial" w:hAnsi="Arial" w:cs="Arial"/>
        </w:rPr>
      </w:pPr>
      <w:r>
        <w:rPr>
          <w:rFonts w:ascii="Arial" w:hAnsi="Arial" w:cs="Arial"/>
        </w:rPr>
        <w:t>The nature of Spread Betting using a DSF allows a client to outlay monies on a wager with only approximately 20 percent of these monies withheld to cover potential risk.</w:t>
      </w:r>
    </w:p>
    <w:p w14:paraId="70411A76" w14:textId="77777777" w:rsidR="00F23A89" w:rsidRDefault="00F23A89" w:rsidP="00F23A89">
      <w:pPr>
        <w:ind w:left="567" w:hanging="425"/>
        <w:jc w:val="both"/>
        <w:rPr>
          <w:rFonts w:ascii="Arial" w:hAnsi="Arial" w:cs="Arial"/>
        </w:rPr>
      </w:pPr>
    </w:p>
    <w:p w14:paraId="0CA10BA5" w14:textId="77777777" w:rsidR="00F23A89" w:rsidRDefault="00F23A89" w:rsidP="00F23A89">
      <w:pPr>
        <w:pStyle w:val="ListParagraph"/>
        <w:numPr>
          <w:ilvl w:val="0"/>
          <w:numId w:val="16"/>
        </w:numPr>
        <w:spacing w:line="276" w:lineRule="auto"/>
        <w:ind w:left="567" w:hanging="425"/>
        <w:contextualSpacing/>
        <w:jc w:val="both"/>
        <w:rPr>
          <w:rFonts w:ascii="Arial" w:hAnsi="Arial" w:cs="Arial"/>
        </w:rPr>
      </w:pPr>
      <w:r>
        <w:rPr>
          <w:rFonts w:ascii="Arial" w:hAnsi="Arial" w:cs="Arial"/>
        </w:rPr>
        <w:t>This allows the DSF client to maximise the number and amount of wagers within their credit facility</w:t>
      </w:r>
      <w:r w:rsidRPr="004F64E8">
        <w:rPr>
          <w:rFonts w:ascii="Arial" w:hAnsi="Arial" w:cs="Arial"/>
        </w:rPr>
        <w:t>.</w:t>
      </w:r>
    </w:p>
    <w:p w14:paraId="19486647" w14:textId="77777777" w:rsidR="00F23A89" w:rsidRDefault="00F23A89" w:rsidP="00F23A89">
      <w:pPr>
        <w:ind w:left="567" w:hanging="425"/>
        <w:jc w:val="both"/>
        <w:rPr>
          <w:rFonts w:ascii="Arial" w:hAnsi="Arial" w:cs="Arial"/>
        </w:rPr>
      </w:pPr>
    </w:p>
    <w:p w14:paraId="09886127" w14:textId="77777777" w:rsidR="00F23A89" w:rsidRPr="00350B75" w:rsidRDefault="00F23A89" w:rsidP="00F23A89">
      <w:pPr>
        <w:pStyle w:val="ListParagraph"/>
        <w:numPr>
          <w:ilvl w:val="0"/>
          <w:numId w:val="16"/>
        </w:numPr>
        <w:spacing w:line="276" w:lineRule="auto"/>
        <w:ind w:left="567" w:hanging="425"/>
        <w:contextualSpacing/>
        <w:jc w:val="both"/>
        <w:rPr>
          <w:rFonts w:ascii="Arial" w:hAnsi="Arial" w:cs="Arial"/>
        </w:rPr>
      </w:pPr>
      <w:r>
        <w:rPr>
          <w:rFonts w:ascii="Arial" w:hAnsi="Arial" w:cs="Arial"/>
        </w:rPr>
        <w:t>Spread Betting also affords a client the potential to maximise winning payouts but conversely, it can also increase the amount of any losses depending on the final outcome of the contingency being wagered on.</w:t>
      </w:r>
    </w:p>
    <w:p w14:paraId="5003C0DA" w14:textId="77777777" w:rsidR="00F23A89" w:rsidRDefault="00F23A89" w:rsidP="00F23A89">
      <w:pPr>
        <w:ind w:left="567" w:hanging="425"/>
        <w:jc w:val="both"/>
        <w:rPr>
          <w:rFonts w:ascii="Arial" w:hAnsi="Arial" w:cs="Arial"/>
          <w:b/>
        </w:rPr>
      </w:pPr>
    </w:p>
    <w:p w14:paraId="3B0A4110" w14:textId="77777777" w:rsidR="00F23A89" w:rsidRDefault="00F23A89" w:rsidP="00F23A89">
      <w:pPr>
        <w:pStyle w:val="ListParagraph"/>
        <w:numPr>
          <w:ilvl w:val="0"/>
          <w:numId w:val="16"/>
        </w:numPr>
        <w:spacing w:line="276" w:lineRule="auto"/>
        <w:ind w:left="567" w:hanging="425"/>
        <w:contextualSpacing/>
        <w:jc w:val="both"/>
        <w:rPr>
          <w:rFonts w:ascii="Arial" w:hAnsi="Arial" w:cs="Arial"/>
        </w:rPr>
      </w:pPr>
      <w:r>
        <w:rPr>
          <w:rFonts w:ascii="Arial" w:hAnsi="Arial" w:cs="Arial"/>
        </w:rPr>
        <w:t xml:space="preserve">Prior to the wager being accepted these maximum win and maximum loss amounts are communicated to clients via information icons next to each market and also on the bet slip. </w:t>
      </w:r>
    </w:p>
    <w:p w14:paraId="136EE2CC" w14:textId="77777777" w:rsidR="00F23A89" w:rsidRPr="00D032B5" w:rsidRDefault="00F23A89" w:rsidP="00F23A89">
      <w:pPr>
        <w:ind w:left="567" w:hanging="425"/>
        <w:jc w:val="both"/>
        <w:rPr>
          <w:rFonts w:ascii="Arial" w:hAnsi="Arial" w:cs="Arial"/>
        </w:rPr>
      </w:pPr>
    </w:p>
    <w:p w14:paraId="1FFF79BD" w14:textId="77777777" w:rsidR="00F23A89" w:rsidRDefault="00F23A89" w:rsidP="00F23A89">
      <w:pPr>
        <w:pStyle w:val="ListParagraph"/>
        <w:numPr>
          <w:ilvl w:val="0"/>
          <w:numId w:val="16"/>
        </w:numPr>
        <w:spacing w:line="276" w:lineRule="auto"/>
        <w:ind w:left="567" w:hanging="425"/>
        <w:contextualSpacing/>
        <w:jc w:val="both"/>
        <w:rPr>
          <w:rFonts w:ascii="Arial" w:hAnsi="Arial" w:cs="Arial"/>
        </w:rPr>
      </w:pPr>
      <w:r>
        <w:rPr>
          <w:rFonts w:ascii="Arial" w:hAnsi="Arial" w:cs="Arial"/>
        </w:rPr>
        <w:t>It therefore follows that a client is made well aware as to exactly how much they can potentially win or lose prior to accepting the wager.</w:t>
      </w:r>
    </w:p>
    <w:p w14:paraId="26EE0208" w14:textId="77777777" w:rsidR="00F23A89" w:rsidRDefault="00F23A89" w:rsidP="00F23A89">
      <w:pPr>
        <w:ind w:left="567" w:hanging="425"/>
        <w:jc w:val="both"/>
        <w:rPr>
          <w:rFonts w:ascii="Arial" w:hAnsi="Arial" w:cs="Arial"/>
        </w:rPr>
      </w:pPr>
    </w:p>
    <w:p w14:paraId="13D0B37E" w14:textId="62460AA8" w:rsidR="00F23A89" w:rsidRDefault="00F23A89" w:rsidP="00F23A89">
      <w:pPr>
        <w:pStyle w:val="ListParagraph"/>
        <w:numPr>
          <w:ilvl w:val="0"/>
          <w:numId w:val="16"/>
        </w:numPr>
        <w:spacing w:line="276" w:lineRule="auto"/>
        <w:ind w:left="567" w:hanging="425"/>
        <w:contextualSpacing/>
        <w:jc w:val="both"/>
        <w:rPr>
          <w:rFonts w:ascii="Arial" w:hAnsi="Arial" w:cs="Arial"/>
        </w:rPr>
      </w:pPr>
      <w:r>
        <w:rPr>
          <w:rFonts w:ascii="Arial" w:hAnsi="Arial" w:cs="Arial"/>
        </w:rPr>
        <w:t xml:space="preserve">In this case Mr </w:t>
      </w:r>
      <w:r w:rsidR="00E96AE3">
        <w:rPr>
          <w:rFonts w:ascii="Arial" w:hAnsi="Arial" w:cs="Arial"/>
        </w:rPr>
        <w:t>W</w:t>
      </w:r>
      <w:r>
        <w:rPr>
          <w:rFonts w:ascii="Arial" w:hAnsi="Arial" w:cs="Arial"/>
        </w:rPr>
        <w:t xml:space="preserve"> was able to exceed his DSF limit by $1200 which took his account balance to $2200, which has since been reduced to the amount of $1994.75 as a result of two repayments having been made by the client.</w:t>
      </w:r>
    </w:p>
    <w:p w14:paraId="4882A04C" w14:textId="77777777" w:rsidR="00F23A89" w:rsidRDefault="00F23A89" w:rsidP="00F23A89">
      <w:pPr>
        <w:ind w:left="567" w:hanging="425"/>
        <w:jc w:val="both"/>
        <w:rPr>
          <w:rFonts w:ascii="Arial" w:hAnsi="Arial" w:cs="Arial"/>
        </w:rPr>
      </w:pPr>
    </w:p>
    <w:p w14:paraId="564C4DF0" w14:textId="77777777" w:rsidR="00F23A89" w:rsidRDefault="00F23A89" w:rsidP="00F23A89">
      <w:pPr>
        <w:pStyle w:val="ListParagraph"/>
        <w:numPr>
          <w:ilvl w:val="0"/>
          <w:numId w:val="16"/>
        </w:numPr>
        <w:spacing w:line="276" w:lineRule="auto"/>
        <w:ind w:left="567" w:hanging="425"/>
        <w:contextualSpacing/>
        <w:jc w:val="both"/>
        <w:rPr>
          <w:rFonts w:ascii="Arial" w:hAnsi="Arial" w:cs="Arial"/>
        </w:rPr>
      </w:pPr>
      <w:r>
        <w:rPr>
          <w:rFonts w:ascii="Arial" w:hAnsi="Arial" w:cs="Arial"/>
        </w:rPr>
        <w:t xml:space="preserve">The client submits that he only asked for a DSF of $1000 and therefore should not be liable for the additional amount in question and wants the debt waived.  A request that the bookmaker has refused on a number of occasions since. </w:t>
      </w:r>
    </w:p>
    <w:p w14:paraId="4856D138" w14:textId="77777777" w:rsidR="00F23A89" w:rsidRPr="00292DEB" w:rsidRDefault="00F23A89" w:rsidP="00F23A89">
      <w:pPr>
        <w:pStyle w:val="ListParagraph"/>
        <w:ind w:left="567" w:hanging="425"/>
        <w:jc w:val="both"/>
        <w:rPr>
          <w:rFonts w:ascii="Arial" w:hAnsi="Arial" w:cs="Arial"/>
        </w:rPr>
      </w:pPr>
    </w:p>
    <w:p w14:paraId="45A533CD" w14:textId="7358ECA0" w:rsidR="00F23A89" w:rsidRDefault="00F23A89" w:rsidP="00F23A89">
      <w:pPr>
        <w:pStyle w:val="ListParagraph"/>
        <w:numPr>
          <w:ilvl w:val="0"/>
          <w:numId w:val="16"/>
        </w:numPr>
        <w:spacing w:line="276" w:lineRule="auto"/>
        <w:ind w:left="567" w:hanging="425"/>
        <w:contextualSpacing/>
        <w:jc w:val="both"/>
        <w:rPr>
          <w:rFonts w:ascii="Arial" w:hAnsi="Arial" w:cs="Arial"/>
        </w:rPr>
      </w:pPr>
      <w:r>
        <w:rPr>
          <w:rFonts w:ascii="Arial" w:hAnsi="Arial" w:cs="Arial"/>
        </w:rPr>
        <w:t xml:space="preserve">It is worth noting at this point that Mr </w:t>
      </w:r>
      <w:r w:rsidR="00E96AE3">
        <w:rPr>
          <w:rFonts w:ascii="Arial" w:hAnsi="Arial" w:cs="Arial"/>
        </w:rPr>
        <w:t>W</w:t>
      </w:r>
      <w:r>
        <w:rPr>
          <w:rFonts w:ascii="Arial" w:hAnsi="Arial" w:cs="Arial"/>
        </w:rPr>
        <w:t xml:space="preserve"> is a Disability Pensioner, whose only source of income is his Government Benefit.</w:t>
      </w:r>
    </w:p>
    <w:p w14:paraId="6DC10CDF" w14:textId="77777777" w:rsidR="00F23A89" w:rsidRPr="00292DEB" w:rsidRDefault="00F23A89" w:rsidP="00F23A89">
      <w:pPr>
        <w:pStyle w:val="ListParagraph"/>
        <w:ind w:left="567" w:hanging="425"/>
        <w:jc w:val="both"/>
        <w:rPr>
          <w:rFonts w:ascii="Arial" w:hAnsi="Arial" w:cs="Arial"/>
        </w:rPr>
      </w:pPr>
    </w:p>
    <w:p w14:paraId="2217B934" w14:textId="3FBD05BF" w:rsidR="00F23A89" w:rsidRDefault="00F23A89" w:rsidP="00F23A89">
      <w:pPr>
        <w:pStyle w:val="ListParagraph"/>
        <w:numPr>
          <w:ilvl w:val="0"/>
          <w:numId w:val="16"/>
        </w:numPr>
        <w:spacing w:line="276" w:lineRule="auto"/>
        <w:ind w:left="567" w:hanging="425"/>
        <w:contextualSpacing/>
        <w:jc w:val="both"/>
        <w:rPr>
          <w:rFonts w:ascii="Arial" w:hAnsi="Arial" w:cs="Arial"/>
        </w:rPr>
      </w:pPr>
      <w:r>
        <w:rPr>
          <w:rFonts w:ascii="Arial" w:hAnsi="Arial" w:cs="Arial"/>
        </w:rPr>
        <w:t xml:space="preserve">It should also be noted that the bookmaker acted appropriately in closing Mr </w:t>
      </w:r>
      <w:r w:rsidR="00E96AE3">
        <w:rPr>
          <w:rFonts w:ascii="Arial" w:hAnsi="Arial" w:cs="Arial"/>
        </w:rPr>
        <w:t>W</w:t>
      </w:r>
      <w:r>
        <w:rPr>
          <w:rFonts w:ascii="Arial" w:hAnsi="Arial" w:cs="Arial"/>
        </w:rPr>
        <w:t>’s account on 25 June 2017, as soon as he advised them that he had a problem with gambling addiction.</w:t>
      </w:r>
    </w:p>
    <w:p w14:paraId="0328D2D7" w14:textId="77777777" w:rsidR="00F23A89" w:rsidRPr="00DA3DE8" w:rsidRDefault="00F23A89" w:rsidP="00F23A89">
      <w:pPr>
        <w:pStyle w:val="ListParagraph"/>
        <w:rPr>
          <w:rFonts w:ascii="Arial" w:hAnsi="Arial" w:cs="Arial"/>
        </w:rPr>
      </w:pPr>
    </w:p>
    <w:p w14:paraId="134B1358" w14:textId="77777777" w:rsidR="00FD5796" w:rsidRPr="008E5F56" w:rsidRDefault="00FD5796" w:rsidP="00313A54">
      <w:pPr>
        <w:pStyle w:val="Heading2"/>
        <w:spacing w:before="480" w:line="360" w:lineRule="auto"/>
        <w:rPr>
          <w:rFonts w:cs="Arial"/>
        </w:rPr>
      </w:pPr>
      <w:r w:rsidRPr="008E5F56">
        <w:rPr>
          <w:rFonts w:cs="Arial"/>
        </w:rPr>
        <w:t>Consideration of the Issues</w:t>
      </w:r>
    </w:p>
    <w:p w14:paraId="0A33F35F" w14:textId="77777777" w:rsidR="00F23A89" w:rsidRDefault="00F23A89" w:rsidP="00F23A89">
      <w:pPr>
        <w:pStyle w:val="ListParagraph"/>
        <w:numPr>
          <w:ilvl w:val="0"/>
          <w:numId w:val="16"/>
        </w:numPr>
        <w:spacing w:line="276" w:lineRule="auto"/>
        <w:ind w:left="567" w:hanging="425"/>
        <w:contextualSpacing/>
        <w:jc w:val="both"/>
        <w:rPr>
          <w:rFonts w:ascii="Arial" w:hAnsi="Arial" w:cs="Arial"/>
        </w:rPr>
      </w:pPr>
      <w:r>
        <w:rPr>
          <w:rFonts w:ascii="Arial" w:hAnsi="Arial" w:cs="Arial"/>
        </w:rPr>
        <w:t>There are two separate issues that stem from this case requiring the Commission’s attention.</w:t>
      </w:r>
    </w:p>
    <w:p w14:paraId="060C39B0" w14:textId="77777777" w:rsidR="00F23A89" w:rsidRDefault="00F23A89" w:rsidP="00F23A89">
      <w:pPr>
        <w:ind w:left="567" w:hanging="425"/>
        <w:jc w:val="both"/>
        <w:rPr>
          <w:rFonts w:ascii="Arial" w:hAnsi="Arial" w:cs="Arial"/>
        </w:rPr>
      </w:pPr>
    </w:p>
    <w:p w14:paraId="1E0DD4EE" w14:textId="77777777" w:rsidR="00F23A89" w:rsidRPr="006D0C89" w:rsidRDefault="00F23A89" w:rsidP="00F23A89">
      <w:pPr>
        <w:pStyle w:val="ListParagraph"/>
        <w:numPr>
          <w:ilvl w:val="0"/>
          <w:numId w:val="16"/>
        </w:numPr>
        <w:spacing w:line="276" w:lineRule="auto"/>
        <w:ind w:left="567" w:hanging="425"/>
        <w:contextualSpacing/>
        <w:jc w:val="both"/>
        <w:rPr>
          <w:rFonts w:ascii="Arial" w:hAnsi="Arial" w:cs="Arial"/>
        </w:rPr>
      </w:pPr>
      <w:r>
        <w:rPr>
          <w:rFonts w:ascii="Arial" w:hAnsi="Arial" w:cs="Arial"/>
        </w:rPr>
        <w:t>Firstly, were the wagers (45 in total) made during the course of the account opening, made and processed in accordance with the bookmakers Terms and Conditions and within the parameters of a Spread Betting Contract, making them lawful wagers?</w:t>
      </w:r>
    </w:p>
    <w:p w14:paraId="13AE6696" w14:textId="77777777" w:rsidR="00F23A89" w:rsidRPr="00485982" w:rsidRDefault="00F23A89" w:rsidP="00F23A89">
      <w:pPr>
        <w:ind w:left="567" w:hanging="425"/>
        <w:jc w:val="both"/>
        <w:rPr>
          <w:rFonts w:ascii="Arial" w:hAnsi="Arial" w:cs="Arial"/>
        </w:rPr>
      </w:pPr>
    </w:p>
    <w:p w14:paraId="24A23DD8" w14:textId="77777777" w:rsidR="00F23A89" w:rsidRDefault="00F23A89" w:rsidP="00F23A89">
      <w:pPr>
        <w:pStyle w:val="ListParagraph"/>
        <w:numPr>
          <w:ilvl w:val="0"/>
          <w:numId w:val="16"/>
        </w:numPr>
        <w:spacing w:line="276" w:lineRule="auto"/>
        <w:ind w:left="567" w:hanging="425"/>
        <w:contextualSpacing/>
        <w:jc w:val="both"/>
        <w:rPr>
          <w:rFonts w:ascii="Arial" w:hAnsi="Arial" w:cs="Arial"/>
        </w:rPr>
      </w:pPr>
      <w:r>
        <w:rPr>
          <w:rFonts w:ascii="Arial" w:hAnsi="Arial" w:cs="Arial"/>
        </w:rPr>
        <w:lastRenderedPageBreak/>
        <w:t>Secondly, was it appropriate for such an account to be opened without the stated requirements at Section 3 of the Code and Conduct for Responsible Online Gambling Deferred Settlement Facilities (The Code)?</w:t>
      </w:r>
    </w:p>
    <w:p w14:paraId="7F2B4787" w14:textId="77777777" w:rsidR="00F23A89" w:rsidRPr="00485982" w:rsidRDefault="00F23A89" w:rsidP="00F23A89">
      <w:pPr>
        <w:ind w:left="567" w:hanging="425"/>
        <w:jc w:val="both"/>
        <w:rPr>
          <w:rFonts w:ascii="Arial" w:hAnsi="Arial" w:cs="Arial"/>
        </w:rPr>
      </w:pPr>
    </w:p>
    <w:p w14:paraId="3A6411DC" w14:textId="77777777" w:rsidR="00F23A89" w:rsidRDefault="00F23A89" w:rsidP="00F23A89">
      <w:pPr>
        <w:pStyle w:val="ListParagraph"/>
        <w:numPr>
          <w:ilvl w:val="0"/>
          <w:numId w:val="16"/>
        </w:numPr>
        <w:spacing w:line="276" w:lineRule="auto"/>
        <w:ind w:left="567" w:hanging="425"/>
        <w:contextualSpacing/>
        <w:jc w:val="both"/>
        <w:rPr>
          <w:rFonts w:ascii="Arial" w:hAnsi="Arial" w:cs="Arial"/>
        </w:rPr>
      </w:pPr>
      <w:r>
        <w:rPr>
          <w:rFonts w:ascii="Arial" w:hAnsi="Arial" w:cs="Arial"/>
        </w:rPr>
        <w:t>The Commission has studied the betting patterns and details around specific wagers made during the three months period that the account was opened.</w:t>
      </w:r>
    </w:p>
    <w:p w14:paraId="14B0F60B" w14:textId="77777777" w:rsidR="00F23A89" w:rsidRPr="00CE1E62" w:rsidRDefault="00F23A89" w:rsidP="00F23A89">
      <w:pPr>
        <w:ind w:left="567" w:hanging="425"/>
        <w:jc w:val="both"/>
        <w:rPr>
          <w:rFonts w:ascii="Arial" w:hAnsi="Arial" w:cs="Arial"/>
        </w:rPr>
      </w:pPr>
    </w:p>
    <w:p w14:paraId="63DBC7BB" w14:textId="72B815F1" w:rsidR="00F23A89" w:rsidRDefault="00F23A89" w:rsidP="00F23A89">
      <w:pPr>
        <w:pStyle w:val="ListParagraph"/>
        <w:numPr>
          <w:ilvl w:val="0"/>
          <w:numId w:val="16"/>
        </w:numPr>
        <w:spacing w:line="276" w:lineRule="auto"/>
        <w:ind w:left="567" w:hanging="425"/>
        <w:contextualSpacing/>
        <w:jc w:val="both"/>
        <w:rPr>
          <w:rFonts w:ascii="Arial" w:hAnsi="Arial" w:cs="Arial"/>
        </w:rPr>
      </w:pPr>
      <w:r>
        <w:rPr>
          <w:rFonts w:ascii="Arial" w:hAnsi="Arial" w:cs="Arial"/>
        </w:rPr>
        <w:t xml:space="preserve">From the betting analysis it is clear the bookmaker adhered to the requirements by advising Mr </w:t>
      </w:r>
      <w:r w:rsidR="00E96AE3">
        <w:rPr>
          <w:rFonts w:ascii="Arial" w:hAnsi="Arial" w:cs="Arial"/>
        </w:rPr>
        <w:t>W</w:t>
      </w:r>
      <w:r>
        <w:rPr>
          <w:rFonts w:ascii="Arial" w:hAnsi="Arial" w:cs="Arial"/>
        </w:rPr>
        <w:t xml:space="preserve"> of the potential maximum win/loss outcomes for the 45 wagers made during that period.</w:t>
      </w:r>
    </w:p>
    <w:p w14:paraId="018A3292" w14:textId="77777777" w:rsidR="00F23A89" w:rsidRPr="00CE1E62" w:rsidRDefault="00F23A89" w:rsidP="00F23A89">
      <w:pPr>
        <w:ind w:left="567" w:hanging="425"/>
        <w:jc w:val="both"/>
        <w:rPr>
          <w:rFonts w:ascii="Arial" w:hAnsi="Arial" w:cs="Arial"/>
        </w:rPr>
      </w:pPr>
    </w:p>
    <w:p w14:paraId="2DC2B227" w14:textId="672E53C3" w:rsidR="00F23A89" w:rsidRPr="00E452E0" w:rsidRDefault="00F23A89" w:rsidP="00F23A89">
      <w:pPr>
        <w:pStyle w:val="ListParagraph"/>
        <w:numPr>
          <w:ilvl w:val="0"/>
          <w:numId w:val="16"/>
        </w:numPr>
        <w:spacing w:line="276" w:lineRule="auto"/>
        <w:ind w:left="567" w:hanging="425"/>
        <w:contextualSpacing/>
        <w:jc w:val="both"/>
        <w:rPr>
          <w:rFonts w:ascii="Arial" w:hAnsi="Arial" w:cs="Arial"/>
        </w:rPr>
      </w:pPr>
      <w:r>
        <w:rPr>
          <w:rFonts w:ascii="Arial" w:hAnsi="Arial" w:cs="Arial"/>
        </w:rPr>
        <w:t xml:space="preserve">It is also clear that the bookmaker acted appropriately by closing the account on </w:t>
      </w:r>
      <w:r>
        <w:rPr>
          <w:rFonts w:ascii="Arial" w:hAnsi="Arial" w:cs="Arial"/>
        </w:rPr>
        <w:br/>
        <w:t xml:space="preserve">25 June 2017 as soon as they became aware of Mr </w:t>
      </w:r>
      <w:r w:rsidR="00E96AE3">
        <w:rPr>
          <w:rFonts w:ascii="Arial" w:hAnsi="Arial" w:cs="Arial"/>
        </w:rPr>
        <w:t>W</w:t>
      </w:r>
      <w:r>
        <w:rPr>
          <w:rFonts w:ascii="Arial" w:hAnsi="Arial" w:cs="Arial"/>
        </w:rPr>
        <w:t>’s problem gambling issues.</w:t>
      </w:r>
    </w:p>
    <w:p w14:paraId="213954F8" w14:textId="77777777" w:rsidR="00F23A89" w:rsidRPr="00143A52" w:rsidRDefault="00F23A89" w:rsidP="00F23A89">
      <w:pPr>
        <w:ind w:left="567" w:hanging="425"/>
        <w:jc w:val="both"/>
        <w:rPr>
          <w:rFonts w:ascii="Arial" w:hAnsi="Arial" w:cs="Arial"/>
        </w:rPr>
      </w:pPr>
    </w:p>
    <w:p w14:paraId="2F7D620F" w14:textId="77777777" w:rsidR="00F23A89" w:rsidRDefault="00F23A89" w:rsidP="00F23A89">
      <w:pPr>
        <w:pStyle w:val="ListParagraph"/>
        <w:numPr>
          <w:ilvl w:val="0"/>
          <w:numId w:val="16"/>
        </w:numPr>
        <w:spacing w:line="276" w:lineRule="auto"/>
        <w:ind w:left="567" w:hanging="425"/>
        <w:contextualSpacing/>
        <w:jc w:val="both"/>
        <w:rPr>
          <w:rFonts w:ascii="Arial" w:hAnsi="Arial" w:cs="Arial"/>
        </w:rPr>
      </w:pPr>
      <w:r>
        <w:rPr>
          <w:rFonts w:ascii="Arial" w:hAnsi="Arial" w:cs="Arial"/>
        </w:rPr>
        <w:t>All wagers made were made within the scope of the deferred settlement limit in force at the time, as per the requirements outlined in the bookmakers Terms and Conditions.</w:t>
      </w:r>
    </w:p>
    <w:p w14:paraId="78279EDE" w14:textId="77777777" w:rsidR="00F23A89" w:rsidRDefault="00F23A89" w:rsidP="00F23A89">
      <w:pPr>
        <w:ind w:left="567" w:hanging="425"/>
        <w:jc w:val="both"/>
        <w:rPr>
          <w:rFonts w:ascii="Arial" w:hAnsi="Arial" w:cs="Arial"/>
        </w:rPr>
      </w:pPr>
    </w:p>
    <w:p w14:paraId="2306A2CC" w14:textId="77777777" w:rsidR="00F23A89" w:rsidRDefault="00F23A89" w:rsidP="00F23A89">
      <w:pPr>
        <w:pStyle w:val="ListParagraph"/>
        <w:numPr>
          <w:ilvl w:val="0"/>
          <w:numId w:val="16"/>
        </w:numPr>
        <w:spacing w:line="276" w:lineRule="auto"/>
        <w:ind w:left="567" w:hanging="425"/>
        <w:contextualSpacing/>
        <w:jc w:val="both"/>
        <w:rPr>
          <w:rFonts w:ascii="Arial" w:hAnsi="Arial" w:cs="Arial"/>
        </w:rPr>
      </w:pPr>
      <w:r>
        <w:rPr>
          <w:rFonts w:ascii="Arial" w:hAnsi="Arial" w:cs="Arial"/>
        </w:rPr>
        <w:t>However the credit checking process, income verification and protocols around provision of responsible gambling material are a little more problematic.</w:t>
      </w:r>
    </w:p>
    <w:p w14:paraId="50A03CCE" w14:textId="77777777" w:rsidR="00F23A89" w:rsidRPr="008D11D8" w:rsidRDefault="00F23A89" w:rsidP="00F23A89">
      <w:pPr>
        <w:pStyle w:val="ListParagraph"/>
        <w:ind w:left="567" w:hanging="425"/>
        <w:rPr>
          <w:rFonts w:ascii="Arial" w:hAnsi="Arial" w:cs="Arial"/>
        </w:rPr>
      </w:pPr>
    </w:p>
    <w:p w14:paraId="2E499CBA" w14:textId="77777777" w:rsidR="00F23A89" w:rsidRDefault="00F23A89" w:rsidP="00F23A89">
      <w:pPr>
        <w:pStyle w:val="ListParagraph"/>
        <w:numPr>
          <w:ilvl w:val="0"/>
          <w:numId w:val="16"/>
        </w:numPr>
        <w:spacing w:line="276" w:lineRule="auto"/>
        <w:ind w:left="567" w:hanging="425"/>
        <w:contextualSpacing/>
        <w:jc w:val="both"/>
        <w:rPr>
          <w:rFonts w:ascii="Arial" w:hAnsi="Arial" w:cs="Arial"/>
        </w:rPr>
      </w:pPr>
      <w:r>
        <w:rPr>
          <w:rFonts w:ascii="Arial" w:hAnsi="Arial" w:cs="Arial"/>
        </w:rPr>
        <w:t>We now turn out attention to the issues which resulted in some quite serious breaches of the Mandatory Code of Practice for Sports Bookmakers – Deferred Settlement Facilities.</w:t>
      </w:r>
    </w:p>
    <w:p w14:paraId="590E6901" w14:textId="77777777" w:rsidR="00F23A89" w:rsidRPr="00403985" w:rsidRDefault="00F23A89" w:rsidP="00F23A89">
      <w:pPr>
        <w:pStyle w:val="ListParagraph"/>
        <w:ind w:left="567" w:hanging="425"/>
        <w:rPr>
          <w:rFonts w:ascii="Arial" w:hAnsi="Arial" w:cs="Arial"/>
        </w:rPr>
      </w:pPr>
    </w:p>
    <w:p w14:paraId="18DF389D" w14:textId="77777777" w:rsidR="00F23A89" w:rsidRDefault="00F23A89" w:rsidP="00F23A89">
      <w:pPr>
        <w:pStyle w:val="ListParagraph"/>
        <w:numPr>
          <w:ilvl w:val="0"/>
          <w:numId w:val="16"/>
        </w:numPr>
        <w:spacing w:line="276" w:lineRule="auto"/>
        <w:ind w:left="567" w:hanging="425"/>
        <w:contextualSpacing/>
        <w:jc w:val="both"/>
        <w:rPr>
          <w:rFonts w:ascii="Arial" w:hAnsi="Arial" w:cs="Arial"/>
        </w:rPr>
      </w:pPr>
      <w:r>
        <w:rPr>
          <w:rFonts w:ascii="Arial" w:hAnsi="Arial" w:cs="Arial"/>
        </w:rPr>
        <w:t>In terms of Section 3 of the Code (detailed below) bookmakers are required to conduct credit checks around credit worthiness, income source and levels, and provide a copy of the Code to the client.  All of which are to be conducted prior to approval of a Deferred Settlement Facility.</w:t>
      </w:r>
    </w:p>
    <w:p w14:paraId="468B8C11" w14:textId="77777777" w:rsidR="00F23A89" w:rsidRPr="0074371D" w:rsidRDefault="00F23A89" w:rsidP="00F23A89">
      <w:pPr>
        <w:pStyle w:val="ListParagraph"/>
        <w:ind w:left="567" w:hanging="425"/>
        <w:rPr>
          <w:rFonts w:ascii="Arial" w:hAnsi="Arial" w:cs="Arial"/>
        </w:rPr>
      </w:pPr>
    </w:p>
    <w:p w14:paraId="72894862" w14:textId="77777777" w:rsidR="00F23A89" w:rsidRDefault="00F23A89" w:rsidP="00F23A89">
      <w:pPr>
        <w:pStyle w:val="ListParagraph"/>
        <w:numPr>
          <w:ilvl w:val="0"/>
          <w:numId w:val="16"/>
        </w:numPr>
        <w:ind w:left="567" w:hanging="425"/>
        <w:contextualSpacing/>
        <w:jc w:val="both"/>
        <w:rPr>
          <w:rFonts w:ascii="Arial" w:hAnsi="Arial" w:cs="Arial"/>
        </w:rPr>
      </w:pPr>
      <w:r>
        <w:rPr>
          <w:rFonts w:ascii="Arial" w:hAnsi="Arial" w:cs="Arial"/>
        </w:rPr>
        <w:t>Section 3 of the Code, specifies as follows:</w:t>
      </w:r>
    </w:p>
    <w:p w14:paraId="17AABA23" w14:textId="77777777" w:rsidR="00F23A89" w:rsidRPr="0074371D" w:rsidRDefault="00F23A89" w:rsidP="00F23A89">
      <w:pPr>
        <w:pStyle w:val="ListParagraph"/>
        <w:rPr>
          <w:rFonts w:ascii="Arial" w:hAnsi="Arial" w:cs="Arial"/>
        </w:rPr>
      </w:pPr>
    </w:p>
    <w:p w14:paraId="2020BC39" w14:textId="4449BA37" w:rsidR="00F23A89" w:rsidRDefault="00F23A89" w:rsidP="00F23A89">
      <w:pPr>
        <w:tabs>
          <w:tab w:val="left" w:pos="1134"/>
        </w:tabs>
        <w:ind w:left="1134" w:hanging="425"/>
        <w:jc w:val="both"/>
        <w:rPr>
          <w:rFonts w:ascii="Arial" w:hAnsi="Arial" w:cs="Arial"/>
        </w:rPr>
      </w:pPr>
      <w:r>
        <w:rPr>
          <w:rFonts w:ascii="Arial" w:hAnsi="Arial" w:cs="Arial"/>
        </w:rPr>
        <w:t xml:space="preserve">3. </w:t>
      </w:r>
      <w:r>
        <w:rPr>
          <w:rFonts w:ascii="Arial" w:hAnsi="Arial" w:cs="Arial"/>
        </w:rPr>
        <w:tab/>
        <w:t xml:space="preserve">Either the sports bookmaker or an independent external assessment institution must </w:t>
      </w:r>
      <w:r w:rsidRPr="0074371D">
        <w:rPr>
          <w:rFonts w:ascii="Arial" w:hAnsi="Arial" w:cs="Arial"/>
        </w:rPr>
        <w:t>undertake an appropriate credit assessment of an application for a Deferred Settlement Facilit</w:t>
      </w:r>
      <w:r>
        <w:rPr>
          <w:rFonts w:ascii="Arial" w:hAnsi="Arial" w:cs="Arial"/>
        </w:rPr>
        <w:t>y</w:t>
      </w:r>
      <w:r w:rsidRPr="0074371D">
        <w:rPr>
          <w:rFonts w:ascii="Arial" w:hAnsi="Arial" w:cs="Arial"/>
        </w:rPr>
        <w:t>.</w:t>
      </w:r>
      <w:r>
        <w:rPr>
          <w:rFonts w:ascii="Arial" w:hAnsi="Arial" w:cs="Arial"/>
        </w:rPr>
        <w:t xml:space="preserve">  Such checks must include:</w:t>
      </w:r>
    </w:p>
    <w:p w14:paraId="22E189F6" w14:textId="77777777" w:rsidR="00F23A89" w:rsidRDefault="00F23A89" w:rsidP="00F23A89">
      <w:pPr>
        <w:ind w:left="360"/>
        <w:jc w:val="both"/>
        <w:rPr>
          <w:rFonts w:ascii="Arial" w:hAnsi="Arial" w:cs="Arial"/>
        </w:rPr>
      </w:pPr>
    </w:p>
    <w:p w14:paraId="41766CC5" w14:textId="77777777" w:rsidR="00F23A89" w:rsidRDefault="00F23A89" w:rsidP="00F23A89">
      <w:pPr>
        <w:pStyle w:val="ListParagraph"/>
        <w:numPr>
          <w:ilvl w:val="0"/>
          <w:numId w:val="29"/>
        </w:numPr>
        <w:spacing w:line="276" w:lineRule="auto"/>
        <w:ind w:left="1701" w:hanging="425"/>
        <w:contextualSpacing/>
        <w:jc w:val="both"/>
        <w:rPr>
          <w:rFonts w:ascii="Arial" w:hAnsi="Arial" w:cs="Arial"/>
        </w:rPr>
      </w:pPr>
      <w:r>
        <w:rPr>
          <w:rFonts w:ascii="Arial" w:hAnsi="Arial" w:cs="Arial"/>
        </w:rPr>
        <w:t>Verification of identity in accordance with anti-money laundering requirements</w:t>
      </w:r>
    </w:p>
    <w:p w14:paraId="7737A990" w14:textId="77777777" w:rsidR="00F23A89" w:rsidRDefault="00F23A89" w:rsidP="00F23A89">
      <w:pPr>
        <w:pStyle w:val="ListParagraph"/>
        <w:numPr>
          <w:ilvl w:val="0"/>
          <w:numId w:val="29"/>
        </w:numPr>
        <w:spacing w:line="276" w:lineRule="auto"/>
        <w:ind w:left="1701" w:hanging="425"/>
        <w:contextualSpacing/>
        <w:jc w:val="both"/>
        <w:rPr>
          <w:rFonts w:ascii="Arial" w:hAnsi="Arial" w:cs="Arial"/>
        </w:rPr>
      </w:pPr>
      <w:r>
        <w:rPr>
          <w:rFonts w:ascii="Arial" w:hAnsi="Arial" w:cs="Arial"/>
        </w:rPr>
        <w:t>Confirmation of age</w:t>
      </w:r>
    </w:p>
    <w:p w14:paraId="2D70FE03" w14:textId="77777777" w:rsidR="00F23A89" w:rsidRDefault="00F23A89" w:rsidP="00F23A89">
      <w:pPr>
        <w:pStyle w:val="ListParagraph"/>
        <w:numPr>
          <w:ilvl w:val="0"/>
          <w:numId w:val="29"/>
        </w:numPr>
        <w:spacing w:line="276" w:lineRule="auto"/>
        <w:ind w:left="1701" w:hanging="425"/>
        <w:contextualSpacing/>
        <w:jc w:val="both"/>
        <w:rPr>
          <w:rFonts w:ascii="Arial" w:hAnsi="Arial" w:cs="Arial"/>
        </w:rPr>
      </w:pPr>
      <w:r>
        <w:rPr>
          <w:rFonts w:ascii="Arial" w:hAnsi="Arial" w:cs="Arial"/>
        </w:rPr>
        <w:t>Confirmation of current residential address</w:t>
      </w:r>
    </w:p>
    <w:p w14:paraId="62CD86F0" w14:textId="77777777" w:rsidR="00F23A89" w:rsidRDefault="00F23A89" w:rsidP="00F23A89">
      <w:pPr>
        <w:pStyle w:val="ListParagraph"/>
        <w:numPr>
          <w:ilvl w:val="0"/>
          <w:numId w:val="29"/>
        </w:numPr>
        <w:spacing w:line="276" w:lineRule="auto"/>
        <w:ind w:left="1701" w:hanging="425"/>
        <w:contextualSpacing/>
        <w:jc w:val="both"/>
        <w:rPr>
          <w:rFonts w:ascii="Arial" w:hAnsi="Arial" w:cs="Arial"/>
        </w:rPr>
      </w:pPr>
      <w:r>
        <w:rPr>
          <w:rFonts w:ascii="Arial" w:hAnsi="Arial" w:cs="Arial"/>
        </w:rPr>
        <w:t>Contact details including phone and email address; and</w:t>
      </w:r>
    </w:p>
    <w:p w14:paraId="01BE9AD4" w14:textId="77777777" w:rsidR="00F23A89" w:rsidRPr="0074371D" w:rsidRDefault="00F23A89" w:rsidP="00F23A89">
      <w:pPr>
        <w:pStyle w:val="ListParagraph"/>
        <w:numPr>
          <w:ilvl w:val="0"/>
          <w:numId w:val="29"/>
        </w:numPr>
        <w:spacing w:line="276" w:lineRule="auto"/>
        <w:ind w:left="1701" w:hanging="425"/>
        <w:contextualSpacing/>
        <w:jc w:val="both"/>
        <w:rPr>
          <w:rFonts w:ascii="Arial" w:hAnsi="Arial" w:cs="Arial"/>
        </w:rPr>
      </w:pPr>
      <w:r>
        <w:rPr>
          <w:rFonts w:ascii="Arial" w:hAnsi="Arial" w:cs="Arial"/>
        </w:rPr>
        <w:t>Assess credit worthiness by establishing employment or source of income or other means.</w:t>
      </w:r>
    </w:p>
    <w:p w14:paraId="0846713D" w14:textId="77777777" w:rsidR="00F23A89" w:rsidRDefault="00F23A89" w:rsidP="00F23A89">
      <w:pPr>
        <w:jc w:val="both"/>
        <w:rPr>
          <w:rFonts w:ascii="Arial" w:hAnsi="Arial" w:cs="Arial"/>
        </w:rPr>
      </w:pPr>
    </w:p>
    <w:p w14:paraId="1172E9D0" w14:textId="77777777" w:rsidR="00F23A89" w:rsidRDefault="00F23A89" w:rsidP="00F23A89">
      <w:pPr>
        <w:pStyle w:val="ListParagraph"/>
        <w:numPr>
          <w:ilvl w:val="0"/>
          <w:numId w:val="16"/>
        </w:numPr>
        <w:spacing w:line="276" w:lineRule="auto"/>
        <w:ind w:left="567" w:hanging="425"/>
        <w:contextualSpacing/>
        <w:jc w:val="both"/>
        <w:rPr>
          <w:rFonts w:ascii="Arial" w:hAnsi="Arial" w:cs="Arial"/>
        </w:rPr>
      </w:pPr>
      <w:r>
        <w:rPr>
          <w:rFonts w:ascii="Arial" w:hAnsi="Arial" w:cs="Arial"/>
        </w:rPr>
        <w:t>Section 3 of the Code also specifies that the customer must be supplied with a copy of the Code upon approval of a Deferred Settlement Facility.</w:t>
      </w:r>
    </w:p>
    <w:p w14:paraId="008080F6" w14:textId="77777777" w:rsidR="00F23A89" w:rsidRDefault="00F23A89" w:rsidP="00F23A89">
      <w:pPr>
        <w:ind w:left="567" w:hanging="425"/>
        <w:jc w:val="both"/>
        <w:rPr>
          <w:rFonts w:ascii="Arial" w:hAnsi="Arial" w:cs="Arial"/>
        </w:rPr>
      </w:pPr>
    </w:p>
    <w:p w14:paraId="5CE00EA2" w14:textId="77777777" w:rsidR="00F23A89" w:rsidRDefault="00F23A89" w:rsidP="00F23A89">
      <w:pPr>
        <w:pStyle w:val="ListParagraph"/>
        <w:numPr>
          <w:ilvl w:val="0"/>
          <w:numId w:val="16"/>
        </w:numPr>
        <w:spacing w:line="276" w:lineRule="auto"/>
        <w:ind w:left="567" w:hanging="425"/>
        <w:contextualSpacing/>
        <w:jc w:val="both"/>
        <w:rPr>
          <w:rFonts w:ascii="Arial" w:hAnsi="Arial" w:cs="Arial"/>
        </w:rPr>
      </w:pPr>
      <w:r>
        <w:rPr>
          <w:rFonts w:ascii="Arial" w:hAnsi="Arial" w:cs="Arial"/>
        </w:rPr>
        <w:lastRenderedPageBreak/>
        <w:t xml:space="preserve">Furthermore, despite the client indicating to the bookmaker that he had a serious gambling problem, manifesting itself in suicidal ideation, the requested information around responsible gambling and suicide prevention were overlooked and not provided in a timely manner. </w:t>
      </w:r>
    </w:p>
    <w:p w14:paraId="1A9E33F6" w14:textId="77777777" w:rsidR="00F23A89" w:rsidRPr="00880A2F" w:rsidRDefault="00F23A89" w:rsidP="00F23A89">
      <w:pPr>
        <w:pStyle w:val="ListParagraph"/>
        <w:ind w:left="567" w:hanging="425"/>
        <w:rPr>
          <w:rFonts w:ascii="Arial" w:hAnsi="Arial" w:cs="Arial"/>
        </w:rPr>
      </w:pPr>
    </w:p>
    <w:p w14:paraId="423C1632" w14:textId="77777777" w:rsidR="00F23A89" w:rsidRDefault="00F23A89" w:rsidP="00F23A89">
      <w:pPr>
        <w:pStyle w:val="ListParagraph"/>
        <w:numPr>
          <w:ilvl w:val="0"/>
          <w:numId w:val="16"/>
        </w:numPr>
        <w:spacing w:line="276" w:lineRule="auto"/>
        <w:ind w:left="567" w:hanging="425"/>
        <w:contextualSpacing/>
        <w:jc w:val="both"/>
        <w:rPr>
          <w:rFonts w:ascii="Arial" w:hAnsi="Arial" w:cs="Arial"/>
        </w:rPr>
      </w:pPr>
      <w:r>
        <w:rPr>
          <w:rFonts w:ascii="Arial" w:hAnsi="Arial" w:cs="Arial"/>
        </w:rPr>
        <w:t>This serious oversight being confirmed by the bookmaker in its response to the Commission investigator dated 18 July 2017.</w:t>
      </w:r>
    </w:p>
    <w:p w14:paraId="162C4DFD" w14:textId="77777777" w:rsidR="00F23A89" w:rsidRPr="006527F4" w:rsidRDefault="00F23A89" w:rsidP="00F23A89">
      <w:pPr>
        <w:pStyle w:val="ListParagraph"/>
        <w:ind w:left="567" w:hanging="425"/>
        <w:rPr>
          <w:rFonts w:ascii="Arial" w:hAnsi="Arial" w:cs="Arial"/>
        </w:rPr>
      </w:pPr>
    </w:p>
    <w:p w14:paraId="3CB8A3E0" w14:textId="77777777" w:rsidR="00F23A89" w:rsidRDefault="00F23A89" w:rsidP="00F23A89">
      <w:pPr>
        <w:pStyle w:val="ListParagraph"/>
        <w:numPr>
          <w:ilvl w:val="0"/>
          <w:numId w:val="16"/>
        </w:numPr>
        <w:spacing w:line="276" w:lineRule="auto"/>
        <w:ind w:left="567" w:hanging="425"/>
        <w:contextualSpacing/>
        <w:jc w:val="both"/>
        <w:rPr>
          <w:rFonts w:ascii="Arial" w:hAnsi="Arial" w:cs="Arial"/>
        </w:rPr>
      </w:pPr>
      <w:r>
        <w:rPr>
          <w:rFonts w:ascii="Arial" w:hAnsi="Arial" w:cs="Arial"/>
        </w:rPr>
        <w:t>In addition, the bookmaker confirmed on 21 July 2017, that the client “was pre-approved for the DSF limit of $500 on the basis of a matching deposit. No credit history check was undertaken”.</w:t>
      </w:r>
    </w:p>
    <w:p w14:paraId="12738E5C" w14:textId="77777777" w:rsidR="00F23A89" w:rsidRDefault="00F23A89" w:rsidP="00F23A89">
      <w:pPr>
        <w:pStyle w:val="ListParagraph"/>
        <w:ind w:left="567" w:hanging="425"/>
        <w:rPr>
          <w:rFonts w:ascii="Arial" w:hAnsi="Arial" w:cs="Arial"/>
        </w:rPr>
      </w:pPr>
    </w:p>
    <w:p w14:paraId="64E0EDD0" w14:textId="77777777" w:rsidR="00F23A89" w:rsidRPr="00E938F6" w:rsidRDefault="00F23A89" w:rsidP="00F23A89">
      <w:pPr>
        <w:pStyle w:val="ListParagraph"/>
        <w:numPr>
          <w:ilvl w:val="0"/>
          <w:numId w:val="16"/>
        </w:numPr>
        <w:spacing w:line="276" w:lineRule="auto"/>
        <w:ind w:left="567" w:hanging="425"/>
        <w:contextualSpacing/>
        <w:jc w:val="both"/>
        <w:rPr>
          <w:rFonts w:ascii="Arial" w:hAnsi="Arial" w:cs="Arial"/>
        </w:rPr>
      </w:pPr>
      <w:r>
        <w:rPr>
          <w:rFonts w:ascii="Arial" w:hAnsi="Arial" w:cs="Arial"/>
        </w:rPr>
        <w:t>It should be noted that on 28 June 2017, the bookmaker contacted the client to advise that the outstanding balance would not be written off, however they did offer to work with the client by rearranging a payment plan which is still in force.</w:t>
      </w:r>
    </w:p>
    <w:p w14:paraId="0F327AEB" w14:textId="77777777" w:rsidR="00803403" w:rsidRPr="008E5F56" w:rsidRDefault="00803403" w:rsidP="00313A54">
      <w:pPr>
        <w:pStyle w:val="Heading2"/>
        <w:spacing w:before="480" w:line="360" w:lineRule="auto"/>
        <w:rPr>
          <w:rFonts w:cs="Arial"/>
        </w:rPr>
      </w:pPr>
      <w:r>
        <w:rPr>
          <w:rFonts w:cs="Arial"/>
        </w:rPr>
        <w:t>Decision</w:t>
      </w:r>
    </w:p>
    <w:p w14:paraId="4FFEDDDD" w14:textId="77777777" w:rsidR="00F23A89" w:rsidRDefault="00F23A89" w:rsidP="00F23A89">
      <w:pPr>
        <w:pStyle w:val="ListParagraph"/>
        <w:numPr>
          <w:ilvl w:val="0"/>
          <w:numId w:val="30"/>
        </w:numPr>
        <w:spacing w:line="276" w:lineRule="auto"/>
        <w:ind w:left="567" w:hanging="425"/>
        <w:contextualSpacing/>
        <w:jc w:val="both"/>
        <w:rPr>
          <w:rFonts w:ascii="Arial" w:hAnsi="Arial" w:cs="Arial"/>
        </w:rPr>
      </w:pPr>
      <w:r>
        <w:rPr>
          <w:rFonts w:ascii="Arial" w:hAnsi="Arial" w:cs="Arial"/>
        </w:rPr>
        <w:t>The conduct of the account regarding requirements around Terms and Conditions appear to have been followed by the bookmaker, with the client being made aware of the potential maximum win/loss outcome of each wager.</w:t>
      </w:r>
    </w:p>
    <w:p w14:paraId="7F9249F6" w14:textId="77777777" w:rsidR="00F23A89" w:rsidRDefault="00F23A89" w:rsidP="00F23A89">
      <w:pPr>
        <w:ind w:left="567" w:hanging="425"/>
        <w:jc w:val="both"/>
        <w:rPr>
          <w:rFonts w:ascii="Arial" w:hAnsi="Arial" w:cs="Arial"/>
        </w:rPr>
      </w:pPr>
    </w:p>
    <w:p w14:paraId="2A2C6B0A" w14:textId="77777777" w:rsidR="00F23A89" w:rsidRDefault="00F23A89" w:rsidP="00F23A89">
      <w:pPr>
        <w:pStyle w:val="ListParagraph"/>
        <w:numPr>
          <w:ilvl w:val="0"/>
          <w:numId w:val="31"/>
        </w:numPr>
        <w:spacing w:line="276" w:lineRule="auto"/>
        <w:ind w:left="567" w:hanging="425"/>
        <w:contextualSpacing/>
        <w:jc w:val="both"/>
        <w:rPr>
          <w:rFonts w:ascii="Arial" w:hAnsi="Arial" w:cs="Arial"/>
        </w:rPr>
      </w:pPr>
      <w:r>
        <w:rPr>
          <w:rFonts w:ascii="Arial" w:hAnsi="Arial" w:cs="Arial"/>
        </w:rPr>
        <w:t>Accordingly we determine that all wagers made during the period the account was open were lawful wagers and as such the negative balance of the account must stand.</w:t>
      </w:r>
    </w:p>
    <w:p w14:paraId="05131E1A" w14:textId="77777777" w:rsidR="00F23A89" w:rsidRDefault="00F23A89" w:rsidP="00F23A89">
      <w:pPr>
        <w:ind w:left="567" w:hanging="425"/>
        <w:jc w:val="both"/>
        <w:rPr>
          <w:rFonts w:ascii="Arial" w:hAnsi="Arial" w:cs="Arial"/>
        </w:rPr>
      </w:pPr>
    </w:p>
    <w:p w14:paraId="49767927" w14:textId="77777777" w:rsidR="00F23A89" w:rsidRDefault="00F23A89" w:rsidP="00F23A89">
      <w:pPr>
        <w:pStyle w:val="ListParagraph"/>
        <w:numPr>
          <w:ilvl w:val="0"/>
          <w:numId w:val="32"/>
        </w:numPr>
        <w:spacing w:line="276" w:lineRule="auto"/>
        <w:ind w:left="567" w:hanging="425"/>
        <w:contextualSpacing/>
        <w:jc w:val="both"/>
        <w:rPr>
          <w:rFonts w:ascii="Arial" w:hAnsi="Arial" w:cs="Arial"/>
        </w:rPr>
      </w:pPr>
      <w:r>
        <w:rPr>
          <w:rFonts w:ascii="Arial" w:hAnsi="Arial" w:cs="Arial"/>
        </w:rPr>
        <w:t>However we are extremely concerned at the bookmakers scant regard for credit checking provisions required at Section 3 of the Code of Conduct for Responsible Online Gambling Deferred Settlement Facilities.</w:t>
      </w:r>
    </w:p>
    <w:p w14:paraId="61129F5D" w14:textId="77777777" w:rsidR="00F23A89" w:rsidRDefault="00F23A89" w:rsidP="00F23A89">
      <w:pPr>
        <w:ind w:left="567" w:hanging="425"/>
        <w:jc w:val="both"/>
        <w:rPr>
          <w:rFonts w:ascii="Arial" w:hAnsi="Arial" w:cs="Arial"/>
        </w:rPr>
      </w:pPr>
    </w:p>
    <w:p w14:paraId="22789697" w14:textId="77777777" w:rsidR="00F23A89" w:rsidRDefault="00F23A89" w:rsidP="00F23A89">
      <w:pPr>
        <w:pStyle w:val="ListParagraph"/>
        <w:numPr>
          <w:ilvl w:val="0"/>
          <w:numId w:val="32"/>
        </w:numPr>
        <w:spacing w:line="276" w:lineRule="auto"/>
        <w:ind w:left="567" w:hanging="425"/>
        <w:contextualSpacing/>
        <w:jc w:val="both"/>
        <w:rPr>
          <w:rFonts w:ascii="Arial" w:hAnsi="Arial" w:cs="Arial"/>
        </w:rPr>
      </w:pPr>
      <w:r>
        <w:rPr>
          <w:rFonts w:ascii="Arial" w:hAnsi="Arial" w:cs="Arial"/>
        </w:rPr>
        <w:t>In addition an enquiry regarding the client’s income situation being that of a</w:t>
      </w:r>
      <w:r w:rsidRPr="002C1751">
        <w:rPr>
          <w:rFonts w:ascii="Arial" w:hAnsi="Arial" w:cs="Arial"/>
        </w:rPr>
        <w:t xml:space="preserve"> </w:t>
      </w:r>
      <w:r>
        <w:rPr>
          <w:rFonts w:ascii="Arial" w:hAnsi="Arial" w:cs="Arial"/>
        </w:rPr>
        <w:t>Disability Pensioner may have been crucial in the assessment for a Deferred Credit Facility.</w:t>
      </w:r>
    </w:p>
    <w:p w14:paraId="0735F69A" w14:textId="77777777" w:rsidR="00F23A89" w:rsidRPr="002C4678" w:rsidRDefault="00F23A89" w:rsidP="00F23A89">
      <w:pPr>
        <w:pStyle w:val="ListParagraph"/>
        <w:ind w:left="567" w:hanging="425"/>
        <w:rPr>
          <w:rFonts w:ascii="Arial" w:hAnsi="Arial" w:cs="Arial"/>
        </w:rPr>
      </w:pPr>
    </w:p>
    <w:p w14:paraId="3C4219F5" w14:textId="77777777" w:rsidR="00F23A89" w:rsidRDefault="00F23A89" w:rsidP="00F23A89">
      <w:pPr>
        <w:pStyle w:val="ListParagraph"/>
        <w:numPr>
          <w:ilvl w:val="0"/>
          <w:numId w:val="32"/>
        </w:numPr>
        <w:spacing w:line="276" w:lineRule="auto"/>
        <w:ind w:left="567" w:hanging="425"/>
        <w:contextualSpacing/>
        <w:jc w:val="both"/>
        <w:rPr>
          <w:rFonts w:ascii="Arial" w:hAnsi="Arial" w:cs="Arial"/>
        </w:rPr>
      </w:pPr>
      <w:r>
        <w:rPr>
          <w:rFonts w:ascii="Arial" w:hAnsi="Arial" w:cs="Arial"/>
        </w:rPr>
        <w:t>Furthermore the bookmaker erred by not providing a copy of the Code to the client at the time the facility was approved. (Section 14 of the Code).</w:t>
      </w:r>
    </w:p>
    <w:p w14:paraId="4EEAA5B1" w14:textId="77777777" w:rsidR="00F23A89" w:rsidRPr="00437D84" w:rsidRDefault="00F23A89" w:rsidP="00F23A89">
      <w:pPr>
        <w:pStyle w:val="ListParagraph"/>
        <w:ind w:left="567" w:hanging="425"/>
        <w:rPr>
          <w:rFonts w:ascii="Arial" w:hAnsi="Arial" w:cs="Arial"/>
        </w:rPr>
      </w:pPr>
    </w:p>
    <w:p w14:paraId="1AE36167" w14:textId="77777777" w:rsidR="00F23A89" w:rsidRDefault="00F23A89" w:rsidP="00F23A89">
      <w:pPr>
        <w:pStyle w:val="ListParagraph"/>
        <w:numPr>
          <w:ilvl w:val="0"/>
          <w:numId w:val="32"/>
        </w:numPr>
        <w:spacing w:line="276" w:lineRule="auto"/>
        <w:ind w:left="567" w:hanging="425"/>
        <w:contextualSpacing/>
        <w:jc w:val="both"/>
        <w:rPr>
          <w:rFonts w:ascii="Arial" w:hAnsi="Arial" w:cs="Arial"/>
        </w:rPr>
      </w:pPr>
      <w:r>
        <w:rPr>
          <w:rFonts w:ascii="Arial" w:hAnsi="Arial" w:cs="Arial"/>
        </w:rPr>
        <w:t>These breaches of the Code, along with the bookmaker’s oversight by not providing responsible gambling information when it was requested are of a serious nature.</w:t>
      </w:r>
    </w:p>
    <w:p w14:paraId="201C67B0" w14:textId="77777777" w:rsidR="00F23A89" w:rsidRPr="00072402" w:rsidRDefault="00F23A89" w:rsidP="00F23A89">
      <w:pPr>
        <w:pStyle w:val="ListParagraph"/>
        <w:ind w:left="567" w:hanging="425"/>
        <w:rPr>
          <w:rFonts w:ascii="Arial" w:hAnsi="Arial" w:cs="Arial"/>
        </w:rPr>
      </w:pPr>
    </w:p>
    <w:p w14:paraId="7CC29869" w14:textId="77777777" w:rsidR="00F23A89" w:rsidRDefault="00F23A89" w:rsidP="00F23A89">
      <w:pPr>
        <w:pStyle w:val="ListParagraph"/>
        <w:numPr>
          <w:ilvl w:val="0"/>
          <w:numId w:val="32"/>
        </w:numPr>
        <w:spacing w:line="276" w:lineRule="auto"/>
        <w:ind w:left="567" w:hanging="425"/>
        <w:contextualSpacing/>
        <w:jc w:val="both"/>
        <w:rPr>
          <w:rFonts w:ascii="Arial" w:hAnsi="Arial" w:cs="Arial"/>
        </w:rPr>
      </w:pPr>
      <w:r>
        <w:rPr>
          <w:rFonts w:ascii="Arial" w:hAnsi="Arial" w:cs="Arial"/>
        </w:rPr>
        <w:t xml:space="preserve">Accordingly in terms of Section 148A of the </w:t>
      </w:r>
      <w:r w:rsidRPr="00072402">
        <w:rPr>
          <w:rFonts w:ascii="Arial" w:hAnsi="Arial" w:cs="Arial"/>
          <w:i/>
        </w:rPr>
        <w:t>Northern Territory Racing and Betting Act</w:t>
      </w:r>
      <w:r>
        <w:rPr>
          <w:rFonts w:ascii="Arial" w:hAnsi="Arial" w:cs="Arial"/>
          <w:i/>
        </w:rPr>
        <w:t xml:space="preserve"> </w:t>
      </w:r>
      <w:r>
        <w:rPr>
          <w:rFonts w:ascii="Arial" w:hAnsi="Arial" w:cs="Arial"/>
        </w:rPr>
        <w:t>we impose a maximum fine of 17 Penalty Units (Value $154 per Unit) on Pointsbet Australia Pty Ltd, for the aforementioned breaches of the Code of Conduct.</w:t>
      </w:r>
    </w:p>
    <w:p w14:paraId="505DED4E" w14:textId="77777777" w:rsidR="00F23A89" w:rsidRPr="00CC39E5" w:rsidRDefault="00F23A89" w:rsidP="00F23A89">
      <w:pPr>
        <w:pStyle w:val="ListParagraph"/>
        <w:ind w:left="567" w:hanging="425"/>
        <w:rPr>
          <w:rFonts w:ascii="Arial" w:hAnsi="Arial" w:cs="Arial"/>
        </w:rPr>
      </w:pPr>
    </w:p>
    <w:p w14:paraId="3E65983C" w14:textId="122DC09E" w:rsidR="00F23A89" w:rsidRDefault="00F23A89" w:rsidP="00F23A89">
      <w:pPr>
        <w:pStyle w:val="ListParagraph"/>
        <w:numPr>
          <w:ilvl w:val="0"/>
          <w:numId w:val="32"/>
        </w:numPr>
        <w:spacing w:line="276" w:lineRule="auto"/>
        <w:ind w:left="567" w:hanging="425"/>
        <w:contextualSpacing/>
        <w:jc w:val="both"/>
        <w:rPr>
          <w:rFonts w:ascii="Arial" w:hAnsi="Arial" w:cs="Arial"/>
        </w:rPr>
      </w:pPr>
      <w:r w:rsidRPr="00CC39E5">
        <w:rPr>
          <w:rFonts w:ascii="Arial" w:hAnsi="Arial" w:cs="Arial"/>
        </w:rPr>
        <w:t>Such penalties amount to a total of $2618 and are due and payable by 1</w:t>
      </w:r>
      <w:r w:rsidR="00D9789B">
        <w:rPr>
          <w:rFonts w:ascii="Arial" w:hAnsi="Arial" w:cs="Arial"/>
        </w:rPr>
        <w:t>2</w:t>
      </w:r>
      <w:r w:rsidRPr="00CC39E5">
        <w:rPr>
          <w:rFonts w:ascii="Arial" w:hAnsi="Arial" w:cs="Arial"/>
        </w:rPr>
        <w:t xml:space="preserve"> March 2018.</w:t>
      </w:r>
    </w:p>
    <w:p w14:paraId="5A8E19E6" w14:textId="77777777" w:rsidR="00F23A89" w:rsidRPr="00CC39E5" w:rsidRDefault="00F23A89" w:rsidP="00F23A89">
      <w:pPr>
        <w:pStyle w:val="ListParagraph"/>
        <w:ind w:left="567" w:hanging="425"/>
        <w:rPr>
          <w:rFonts w:ascii="Arial" w:hAnsi="Arial" w:cs="Arial"/>
        </w:rPr>
      </w:pPr>
    </w:p>
    <w:p w14:paraId="1884802C" w14:textId="60988224" w:rsidR="00F23A89" w:rsidRDefault="00F23A89" w:rsidP="00F23A89">
      <w:pPr>
        <w:pStyle w:val="ListParagraph"/>
        <w:numPr>
          <w:ilvl w:val="0"/>
          <w:numId w:val="32"/>
        </w:numPr>
        <w:spacing w:line="276" w:lineRule="auto"/>
        <w:ind w:left="567" w:hanging="425"/>
        <w:contextualSpacing/>
        <w:jc w:val="both"/>
        <w:rPr>
          <w:rFonts w:ascii="Arial" w:hAnsi="Arial" w:cs="Arial"/>
        </w:rPr>
      </w:pPr>
      <w:r>
        <w:rPr>
          <w:rFonts w:ascii="Arial" w:hAnsi="Arial" w:cs="Arial"/>
        </w:rPr>
        <w:t xml:space="preserve">We understand that this Determination does not satisfy Mr </w:t>
      </w:r>
      <w:r w:rsidR="00E96AE3">
        <w:rPr>
          <w:rFonts w:ascii="Arial" w:hAnsi="Arial" w:cs="Arial"/>
        </w:rPr>
        <w:t>W</w:t>
      </w:r>
      <w:r>
        <w:rPr>
          <w:rFonts w:ascii="Arial" w:hAnsi="Arial" w:cs="Arial"/>
        </w:rPr>
        <w:t>’s request for the debt to be waived, however the Commission must act fairly to all parties.  Other than the breaches of the Code of Conduct, the bookmaker acted appropriately in accepting and honouring the Spread Betting wagers and as such cannot be penalised with regard to the “mechanics” of the placement of those wagers.</w:t>
      </w:r>
    </w:p>
    <w:p w14:paraId="2E35D5E0" w14:textId="77777777" w:rsidR="00F23A89" w:rsidRPr="00E22E72" w:rsidRDefault="00F23A89" w:rsidP="00F23A89">
      <w:pPr>
        <w:pStyle w:val="ListParagraph"/>
        <w:ind w:left="567" w:hanging="425"/>
        <w:rPr>
          <w:rFonts w:ascii="Arial" w:hAnsi="Arial" w:cs="Arial"/>
        </w:rPr>
      </w:pPr>
    </w:p>
    <w:p w14:paraId="625ACD90" w14:textId="77777777" w:rsidR="00F23A89" w:rsidRPr="00CC39E5" w:rsidRDefault="00F23A89" w:rsidP="00F23A89">
      <w:pPr>
        <w:pStyle w:val="ListParagraph"/>
        <w:numPr>
          <w:ilvl w:val="0"/>
          <w:numId w:val="32"/>
        </w:numPr>
        <w:spacing w:line="276" w:lineRule="auto"/>
        <w:ind w:left="567" w:hanging="425"/>
        <w:contextualSpacing/>
        <w:jc w:val="both"/>
        <w:rPr>
          <w:rFonts w:ascii="Arial" w:hAnsi="Arial" w:cs="Arial"/>
        </w:rPr>
      </w:pPr>
      <w:r>
        <w:rPr>
          <w:rFonts w:ascii="Arial" w:hAnsi="Arial" w:cs="Arial"/>
        </w:rPr>
        <w:t>As such and in accordance with Section 85 (4) of the Act, on the basis of the information provided in respect of the dispute and for the reasons set out above, the Commission has determined the wagers to be lawful.</w:t>
      </w:r>
    </w:p>
    <w:p w14:paraId="7C8C040F" w14:textId="77777777" w:rsidR="008E5F56" w:rsidRDefault="008E5F56" w:rsidP="008E5F56">
      <w:pPr>
        <w:spacing w:line="240" w:lineRule="atLeast"/>
        <w:ind w:left="426" w:hanging="426"/>
        <w:jc w:val="both"/>
        <w:rPr>
          <w:rFonts w:ascii="Arial" w:hAnsi="Arial" w:cs="Arial"/>
          <w:b/>
        </w:rPr>
      </w:pPr>
    </w:p>
    <w:p w14:paraId="23A4BE63" w14:textId="77777777" w:rsidR="00313A54" w:rsidRDefault="00313A54" w:rsidP="008E5F56">
      <w:pPr>
        <w:spacing w:line="240" w:lineRule="atLeast"/>
        <w:ind w:left="426" w:hanging="426"/>
        <w:jc w:val="both"/>
        <w:rPr>
          <w:rFonts w:ascii="Arial" w:hAnsi="Arial" w:cs="Arial"/>
          <w:b/>
        </w:rPr>
      </w:pPr>
    </w:p>
    <w:p w14:paraId="02E92107" w14:textId="77777777" w:rsidR="00D9789B" w:rsidRDefault="00D9789B" w:rsidP="008E5F56">
      <w:pPr>
        <w:spacing w:line="240" w:lineRule="atLeast"/>
        <w:ind w:left="426" w:hanging="426"/>
        <w:jc w:val="both"/>
        <w:rPr>
          <w:rFonts w:ascii="Arial" w:hAnsi="Arial" w:cs="Arial"/>
          <w:b/>
        </w:rPr>
      </w:pPr>
      <w:bookmarkStart w:id="0" w:name="_GoBack"/>
      <w:bookmarkEnd w:id="0"/>
    </w:p>
    <w:p w14:paraId="74EF7181" w14:textId="77777777" w:rsidR="00F23A89" w:rsidRDefault="00F23A89" w:rsidP="008E5F56">
      <w:pPr>
        <w:spacing w:line="240" w:lineRule="atLeast"/>
        <w:ind w:left="426" w:hanging="426"/>
        <w:jc w:val="both"/>
        <w:rPr>
          <w:rFonts w:ascii="Arial" w:hAnsi="Arial" w:cs="Arial"/>
          <w:b/>
        </w:rPr>
      </w:pPr>
    </w:p>
    <w:p w14:paraId="2284A8CA" w14:textId="77777777" w:rsidR="008E5F56" w:rsidRDefault="008E5F56" w:rsidP="008E5F56">
      <w:pPr>
        <w:spacing w:line="240" w:lineRule="atLeast"/>
        <w:ind w:left="426" w:hanging="426"/>
        <w:jc w:val="both"/>
        <w:rPr>
          <w:rFonts w:ascii="Arial" w:hAnsi="Arial" w:cs="Arial"/>
          <w:b/>
        </w:rPr>
      </w:pPr>
    </w:p>
    <w:p w14:paraId="564C123E" w14:textId="55538BB0" w:rsidR="002C6BB7" w:rsidRPr="00F23A89" w:rsidRDefault="00F23A89" w:rsidP="008E5F56">
      <w:pPr>
        <w:spacing w:line="240" w:lineRule="atLeast"/>
        <w:ind w:left="426" w:hanging="426"/>
        <w:jc w:val="both"/>
        <w:rPr>
          <w:rFonts w:ascii="Arial" w:hAnsi="Arial" w:cs="Arial"/>
          <w:b/>
        </w:rPr>
      </w:pPr>
      <w:r w:rsidRPr="00F23A89">
        <w:rPr>
          <w:rFonts w:ascii="Arial" w:hAnsi="Arial" w:cs="Arial"/>
          <w:b/>
        </w:rPr>
        <w:t>John Boneham</w:t>
      </w:r>
    </w:p>
    <w:p w14:paraId="3F64AB97" w14:textId="0122C944" w:rsidR="002C6BB7" w:rsidRPr="00F23A89" w:rsidRDefault="00A3148D" w:rsidP="008E5F56">
      <w:pPr>
        <w:ind w:left="426" w:hanging="426"/>
        <w:jc w:val="both"/>
        <w:rPr>
          <w:rFonts w:ascii="Arial" w:hAnsi="Arial" w:cs="Arial"/>
        </w:rPr>
      </w:pPr>
      <w:r w:rsidRPr="00F23A89">
        <w:rPr>
          <w:rFonts w:ascii="Arial" w:hAnsi="Arial" w:cs="Arial"/>
        </w:rPr>
        <w:t>Presiding Member</w:t>
      </w:r>
    </w:p>
    <w:p w14:paraId="14179C3F" w14:textId="77777777" w:rsidR="008E5F56" w:rsidRPr="00F23A89" w:rsidRDefault="008E5F56" w:rsidP="008E5F56">
      <w:pPr>
        <w:spacing w:line="240" w:lineRule="atLeast"/>
        <w:jc w:val="both"/>
        <w:rPr>
          <w:rFonts w:ascii="Arial" w:hAnsi="Arial" w:cs="Arial"/>
        </w:rPr>
      </w:pPr>
      <w:r w:rsidRPr="00F23A89">
        <w:rPr>
          <w:rFonts w:ascii="Arial" w:hAnsi="Arial" w:cs="Arial"/>
        </w:rPr>
        <w:t>Racing Commission</w:t>
      </w:r>
    </w:p>
    <w:p w14:paraId="68D1CEF0" w14:textId="77777777" w:rsidR="008E5F56" w:rsidRPr="00F23A89" w:rsidRDefault="008E5F56" w:rsidP="008E5F56">
      <w:pPr>
        <w:spacing w:line="240" w:lineRule="atLeast"/>
        <w:ind w:left="426" w:hanging="426"/>
        <w:jc w:val="both"/>
        <w:rPr>
          <w:rFonts w:ascii="Arial" w:hAnsi="Arial" w:cs="Arial"/>
        </w:rPr>
      </w:pPr>
    </w:p>
    <w:p w14:paraId="53FCB3EA" w14:textId="7CB01161" w:rsidR="008707D3" w:rsidRPr="008E5F56" w:rsidRDefault="00F23A89" w:rsidP="00F23A89">
      <w:pPr>
        <w:spacing w:line="240" w:lineRule="atLeast"/>
        <w:ind w:left="426" w:hanging="426"/>
        <w:jc w:val="both"/>
        <w:rPr>
          <w:rFonts w:ascii="Arial" w:hAnsi="Arial" w:cs="Arial"/>
        </w:rPr>
      </w:pPr>
      <w:r>
        <w:rPr>
          <w:rFonts w:ascii="Arial" w:hAnsi="Arial" w:cs="Arial"/>
        </w:rPr>
        <w:t>13 February 2018</w:t>
      </w:r>
    </w:p>
    <w:sectPr w:rsidR="008707D3" w:rsidRPr="008E5F56" w:rsidSect="00313A54">
      <w:headerReference w:type="even" r:id="rId8"/>
      <w:headerReference w:type="default" r:id="rId9"/>
      <w:headerReference w:type="first" r:id="rId10"/>
      <w:pgSz w:w="11906" w:h="16838" w:code="9"/>
      <w:pgMar w:top="1440" w:right="1134"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CCD57" w14:textId="77777777" w:rsidR="001106D6" w:rsidRDefault="001106D6">
      <w:r>
        <w:separator/>
      </w:r>
    </w:p>
  </w:endnote>
  <w:endnote w:type="continuationSeparator" w:id="0">
    <w:p w14:paraId="4C038F35" w14:textId="77777777" w:rsidR="001106D6" w:rsidRDefault="00110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45F66" w14:textId="77777777" w:rsidR="001106D6" w:rsidRDefault="001106D6">
      <w:r>
        <w:separator/>
      </w:r>
    </w:p>
  </w:footnote>
  <w:footnote w:type="continuationSeparator" w:id="0">
    <w:p w14:paraId="201B66B1" w14:textId="77777777" w:rsidR="001106D6" w:rsidRDefault="00110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AE145" w14:textId="77777777" w:rsidR="00C5025D" w:rsidRDefault="00C5025D"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B0E54A" w14:textId="77777777" w:rsidR="00C5025D" w:rsidRDefault="00C5025D" w:rsidP="00340E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932062"/>
      <w:docPartObj>
        <w:docPartGallery w:val="Page Numbers (Top of Page)"/>
        <w:docPartUnique/>
      </w:docPartObj>
    </w:sdtPr>
    <w:sdtEndPr>
      <w:rPr>
        <w:noProof/>
      </w:rPr>
    </w:sdtEndPr>
    <w:sdtContent>
      <w:p w14:paraId="2DDA0E9B" w14:textId="77777777" w:rsidR="00614B00" w:rsidRDefault="00614B00">
        <w:pPr>
          <w:pStyle w:val="Header"/>
          <w:jc w:val="right"/>
        </w:pPr>
        <w:r w:rsidRPr="00614B00">
          <w:rPr>
            <w:rFonts w:ascii="Arial" w:hAnsi="Arial" w:cs="Arial"/>
          </w:rPr>
          <w:fldChar w:fldCharType="begin"/>
        </w:r>
        <w:r w:rsidRPr="00614B00">
          <w:rPr>
            <w:rFonts w:ascii="Arial" w:hAnsi="Arial" w:cs="Arial"/>
          </w:rPr>
          <w:instrText xml:space="preserve"> PAGE   \* MERGEFORMAT </w:instrText>
        </w:r>
        <w:r w:rsidRPr="00614B00">
          <w:rPr>
            <w:rFonts w:ascii="Arial" w:hAnsi="Arial" w:cs="Arial"/>
          </w:rPr>
          <w:fldChar w:fldCharType="separate"/>
        </w:r>
        <w:r w:rsidR="00BD7533">
          <w:rPr>
            <w:rFonts w:ascii="Arial" w:hAnsi="Arial" w:cs="Arial"/>
            <w:noProof/>
          </w:rPr>
          <w:t>5</w:t>
        </w:r>
        <w:r w:rsidRPr="00614B00">
          <w:rPr>
            <w:rFonts w:ascii="Arial" w:hAnsi="Arial" w:cs="Arial"/>
            <w:noProof/>
          </w:rPr>
          <w:fldChar w:fldCharType="end"/>
        </w:r>
      </w:p>
    </w:sdtContent>
  </w:sdt>
  <w:p w14:paraId="216F19D1" w14:textId="77777777" w:rsidR="00C5025D" w:rsidRDefault="00C5025D" w:rsidP="00340E1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E868B" w14:textId="77777777" w:rsidR="008E5F56" w:rsidRDefault="008E5F56" w:rsidP="003B38E2">
    <w:pPr>
      <w:jc w:val="center"/>
      <w:rPr>
        <w:rFonts w:ascii="Arial" w:hAnsi="Arial"/>
        <w:b/>
        <w:sz w:val="32"/>
      </w:rPr>
    </w:pPr>
  </w:p>
  <w:p w14:paraId="0C9C7225" w14:textId="77777777" w:rsidR="003B38E2" w:rsidRDefault="003B38E2" w:rsidP="003B38E2">
    <w:pPr>
      <w:jc w:val="center"/>
    </w:pPr>
    <w:r w:rsidRPr="00C26AA1">
      <w:rPr>
        <w:rFonts w:ascii="Arial" w:hAnsi="Arial"/>
        <w:b/>
        <w:sz w:val="32"/>
      </w:rPr>
      <w:t xml:space="preserve">NORTHERN TERRITORY </w:t>
    </w:r>
    <w:r w:rsidR="003F0044">
      <w:rPr>
        <w:rFonts w:ascii="Arial" w:hAnsi="Arial"/>
        <w:b/>
        <w:sz w:val="32"/>
      </w:rPr>
      <w:t>RACING</w:t>
    </w:r>
    <w:r w:rsidRPr="00C26AA1">
      <w:rPr>
        <w:rFonts w:ascii="Arial" w:hAnsi="Arial"/>
        <w:b/>
        <w:sz w:val="32"/>
      </w:rPr>
      <w:t xml:space="preserve">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6350"/>
    <w:multiLevelType w:val="hybridMultilevel"/>
    <w:tmpl w:val="9C2E37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A92568"/>
    <w:multiLevelType w:val="hybridMultilevel"/>
    <w:tmpl w:val="32C2C904"/>
    <w:lvl w:ilvl="0" w:tplc="07467D52">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AC2B97"/>
    <w:multiLevelType w:val="hybridMultilevel"/>
    <w:tmpl w:val="DF36DC2A"/>
    <w:lvl w:ilvl="0" w:tplc="EFB47C52">
      <w:start w:val="1"/>
      <w:numFmt w:val="decimal"/>
      <w:lvlText w:val="(%1)"/>
      <w:lvlJc w:val="left"/>
      <w:pPr>
        <w:ind w:left="1460" w:hanging="360"/>
      </w:pPr>
      <w:rPr>
        <w:rFonts w:hint="default"/>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3" w15:restartNumberingAfterBreak="0">
    <w:nsid w:val="099F3D7E"/>
    <w:multiLevelType w:val="hybridMultilevel"/>
    <w:tmpl w:val="721064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D3259AA"/>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771127"/>
    <w:multiLevelType w:val="hybridMultilevel"/>
    <w:tmpl w:val="8820A5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6806903"/>
    <w:multiLevelType w:val="hybridMultilevel"/>
    <w:tmpl w:val="9DD0A7FA"/>
    <w:lvl w:ilvl="0" w:tplc="7B48F9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DD827DE"/>
    <w:multiLevelType w:val="hybridMultilevel"/>
    <w:tmpl w:val="4E7C3FF0"/>
    <w:lvl w:ilvl="0" w:tplc="45FE9B0C">
      <w:start w:val="1"/>
      <w:numFmt w:val="decimal"/>
      <w:lvlText w:val="%1."/>
      <w:lvlJc w:val="left"/>
      <w:pPr>
        <w:ind w:left="152" w:hanging="360"/>
      </w:pPr>
      <w:rPr>
        <w:b w:val="0"/>
      </w:rPr>
    </w:lvl>
    <w:lvl w:ilvl="1" w:tplc="0C090019">
      <w:start w:val="1"/>
      <w:numFmt w:val="lowerLetter"/>
      <w:lvlText w:val="%2."/>
      <w:lvlJc w:val="left"/>
      <w:pPr>
        <w:ind w:left="872" w:hanging="360"/>
      </w:pPr>
    </w:lvl>
    <w:lvl w:ilvl="2" w:tplc="0C09001B">
      <w:start w:val="1"/>
      <w:numFmt w:val="lowerRoman"/>
      <w:lvlText w:val="%3."/>
      <w:lvlJc w:val="right"/>
      <w:pPr>
        <w:ind w:left="1592" w:hanging="180"/>
      </w:pPr>
    </w:lvl>
    <w:lvl w:ilvl="3" w:tplc="0C09000F">
      <w:start w:val="1"/>
      <w:numFmt w:val="decimal"/>
      <w:lvlText w:val="%4."/>
      <w:lvlJc w:val="left"/>
      <w:pPr>
        <w:ind w:left="2312" w:hanging="360"/>
      </w:pPr>
    </w:lvl>
    <w:lvl w:ilvl="4" w:tplc="0C090019">
      <w:start w:val="1"/>
      <w:numFmt w:val="lowerLetter"/>
      <w:lvlText w:val="%5."/>
      <w:lvlJc w:val="left"/>
      <w:pPr>
        <w:ind w:left="3032" w:hanging="360"/>
      </w:pPr>
    </w:lvl>
    <w:lvl w:ilvl="5" w:tplc="0C09001B">
      <w:start w:val="1"/>
      <w:numFmt w:val="lowerRoman"/>
      <w:lvlText w:val="%6."/>
      <w:lvlJc w:val="right"/>
      <w:pPr>
        <w:ind w:left="3752" w:hanging="180"/>
      </w:pPr>
    </w:lvl>
    <w:lvl w:ilvl="6" w:tplc="0C09000F">
      <w:start w:val="1"/>
      <w:numFmt w:val="decimal"/>
      <w:lvlText w:val="%7."/>
      <w:lvlJc w:val="left"/>
      <w:pPr>
        <w:ind w:left="4472" w:hanging="360"/>
      </w:pPr>
    </w:lvl>
    <w:lvl w:ilvl="7" w:tplc="0C090019">
      <w:start w:val="1"/>
      <w:numFmt w:val="lowerLetter"/>
      <w:lvlText w:val="%8."/>
      <w:lvlJc w:val="left"/>
      <w:pPr>
        <w:ind w:left="5192" w:hanging="360"/>
      </w:pPr>
    </w:lvl>
    <w:lvl w:ilvl="8" w:tplc="0C09001B">
      <w:start w:val="1"/>
      <w:numFmt w:val="lowerRoman"/>
      <w:lvlText w:val="%9."/>
      <w:lvlJc w:val="right"/>
      <w:pPr>
        <w:ind w:left="5912" w:hanging="180"/>
      </w:pPr>
    </w:lvl>
  </w:abstractNum>
  <w:abstractNum w:abstractNumId="8" w15:restartNumberingAfterBreak="0">
    <w:nsid w:val="1E5D1582"/>
    <w:multiLevelType w:val="hybridMultilevel"/>
    <w:tmpl w:val="81DA0F00"/>
    <w:lvl w:ilvl="0" w:tplc="0C09000F">
      <w:start w:val="1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2362C59"/>
    <w:multiLevelType w:val="hybridMultilevel"/>
    <w:tmpl w:val="BB184298"/>
    <w:lvl w:ilvl="0" w:tplc="84D44F12">
      <w:start w:val="3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A34989"/>
    <w:multiLevelType w:val="hybridMultilevel"/>
    <w:tmpl w:val="7C24DD4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5C6347"/>
    <w:multiLevelType w:val="hybridMultilevel"/>
    <w:tmpl w:val="CDD28584"/>
    <w:lvl w:ilvl="0" w:tplc="0C090015">
      <w:start w:val="1"/>
      <w:numFmt w:val="upperLetter"/>
      <w:lvlText w:val="%1."/>
      <w:lvlJc w:val="left"/>
      <w:pPr>
        <w:ind w:left="1080" w:hanging="360"/>
      </w:pPr>
      <w:rPr>
        <w:rFonts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DF2505B"/>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3A467B9"/>
    <w:multiLevelType w:val="hybridMultilevel"/>
    <w:tmpl w:val="D5BE7660"/>
    <w:lvl w:ilvl="0" w:tplc="3D403FC4">
      <w:start w:val="17"/>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14" w15:restartNumberingAfterBreak="0">
    <w:nsid w:val="3BC83A9D"/>
    <w:multiLevelType w:val="hybridMultilevel"/>
    <w:tmpl w:val="2FC8701A"/>
    <w:lvl w:ilvl="0" w:tplc="2A64AC16">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12D1F43"/>
    <w:multiLevelType w:val="hybridMultilevel"/>
    <w:tmpl w:val="478E83FA"/>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24B019D"/>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54E72A1"/>
    <w:multiLevelType w:val="hybridMultilevel"/>
    <w:tmpl w:val="DA9E8D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7FA16E2"/>
    <w:multiLevelType w:val="hybridMultilevel"/>
    <w:tmpl w:val="D8749682"/>
    <w:lvl w:ilvl="0" w:tplc="0C090011">
      <w:start w:val="4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AE50753"/>
    <w:multiLevelType w:val="hybridMultilevel"/>
    <w:tmpl w:val="17D25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D810F8F"/>
    <w:multiLevelType w:val="hybridMultilevel"/>
    <w:tmpl w:val="263E8C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F5D5D62"/>
    <w:multiLevelType w:val="hybridMultilevel"/>
    <w:tmpl w:val="1B3066C8"/>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2" w15:restartNumberingAfterBreak="0">
    <w:nsid w:val="516B42D2"/>
    <w:multiLevelType w:val="hybridMultilevel"/>
    <w:tmpl w:val="A61038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3CF0135"/>
    <w:multiLevelType w:val="hybridMultilevel"/>
    <w:tmpl w:val="FA88EF8A"/>
    <w:lvl w:ilvl="0" w:tplc="0C09000F">
      <w:start w:val="1"/>
      <w:numFmt w:val="decimal"/>
      <w:lvlText w:val="%1."/>
      <w:lvlJc w:val="left"/>
      <w:pPr>
        <w:ind w:left="1287" w:hanging="360"/>
      </w:p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24" w15:restartNumberingAfterBreak="0">
    <w:nsid w:val="61FF3DD0"/>
    <w:multiLevelType w:val="hybridMultilevel"/>
    <w:tmpl w:val="0C043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C425BE"/>
    <w:multiLevelType w:val="hybridMultilevel"/>
    <w:tmpl w:val="88E09688"/>
    <w:lvl w:ilvl="0" w:tplc="F54ABC9C">
      <w:start w:val="3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9C5028E"/>
    <w:multiLevelType w:val="hybridMultilevel"/>
    <w:tmpl w:val="08D88FB8"/>
    <w:lvl w:ilvl="0" w:tplc="11E0FF5C">
      <w:start w:val="3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DF64946"/>
    <w:multiLevelType w:val="hybridMultilevel"/>
    <w:tmpl w:val="284C51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41219F4"/>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504670D"/>
    <w:multiLevelType w:val="hybridMultilevel"/>
    <w:tmpl w:val="BAF4DAC8"/>
    <w:lvl w:ilvl="0" w:tplc="6568A536">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30" w15:restartNumberingAfterBreak="0">
    <w:nsid w:val="7A6D7104"/>
    <w:multiLevelType w:val="hybridMultilevel"/>
    <w:tmpl w:val="2E8AF216"/>
    <w:lvl w:ilvl="0" w:tplc="BC7A1628">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E1C4B90"/>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8"/>
  </w:num>
  <w:num w:numId="4">
    <w:abstractNumId w:val="6"/>
  </w:num>
  <w:num w:numId="5">
    <w:abstractNumId w:val="22"/>
  </w:num>
  <w:num w:numId="6">
    <w:abstractNumId w:val="27"/>
  </w:num>
  <w:num w:numId="7">
    <w:abstractNumId w:val="19"/>
  </w:num>
  <w:num w:numId="8">
    <w:abstractNumId w:val="0"/>
  </w:num>
  <w:num w:numId="9">
    <w:abstractNumId w:val="29"/>
  </w:num>
  <w:num w:numId="10">
    <w:abstractNumId w:val="18"/>
  </w:num>
  <w:num w:numId="11">
    <w:abstractNumId w:val="2"/>
  </w:num>
  <w:num w:numId="12">
    <w:abstractNumId w:val="3"/>
  </w:num>
  <w:num w:numId="13">
    <w:abstractNumId w:val="17"/>
  </w:num>
  <w:num w:numId="14">
    <w:abstractNumId w:val="20"/>
  </w:num>
  <w:num w:numId="15">
    <w:abstractNumId w:val="1"/>
  </w:num>
  <w:num w:numId="16">
    <w:abstractNumId w:val="14"/>
  </w:num>
  <w:num w:numId="17">
    <w:abstractNumId w:val="4"/>
  </w:num>
  <w:num w:numId="18">
    <w:abstractNumId w:val="5"/>
  </w:num>
  <w:num w:numId="19">
    <w:abstractNumId w:val="21"/>
  </w:num>
  <w:num w:numId="20">
    <w:abstractNumId w:val="24"/>
  </w:num>
  <w:num w:numId="21">
    <w:abstractNumId w:val="10"/>
  </w:num>
  <w:num w:numId="22">
    <w:abstractNumId w:val="31"/>
  </w:num>
  <w:num w:numId="23">
    <w:abstractNumId w:val="30"/>
  </w:num>
  <w:num w:numId="24">
    <w:abstractNumId w:val="28"/>
  </w:num>
  <w:num w:numId="25">
    <w:abstractNumId w:val="16"/>
  </w:num>
  <w:num w:numId="26">
    <w:abstractNumId w:val="12"/>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lvlOverride w:ilvl="2"/>
    <w:lvlOverride w:ilvl="3"/>
    <w:lvlOverride w:ilvl="4"/>
    <w:lvlOverride w:ilvl="5"/>
    <w:lvlOverride w:ilvl="6"/>
    <w:lvlOverride w:ilvl="7"/>
    <w:lvlOverride w:ilvl="8"/>
  </w:num>
  <w:num w:numId="29">
    <w:abstractNumId w:val="11"/>
  </w:num>
  <w:num w:numId="30">
    <w:abstractNumId w:val="9"/>
  </w:num>
  <w:num w:numId="31">
    <w:abstractNumId w:val="26"/>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5E"/>
    <w:rsid w:val="00000D37"/>
    <w:rsid w:val="000020F8"/>
    <w:rsid w:val="000048F3"/>
    <w:rsid w:val="00020858"/>
    <w:rsid w:val="00035446"/>
    <w:rsid w:val="00043F15"/>
    <w:rsid w:val="00055A44"/>
    <w:rsid w:val="00060698"/>
    <w:rsid w:val="0006656F"/>
    <w:rsid w:val="000716C2"/>
    <w:rsid w:val="000808B9"/>
    <w:rsid w:val="00082CE5"/>
    <w:rsid w:val="00091732"/>
    <w:rsid w:val="000A71E5"/>
    <w:rsid w:val="000E1540"/>
    <w:rsid w:val="00102517"/>
    <w:rsid w:val="001106D6"/>
    <w:rsid w:val="0012027A"/>
    <w:rsid w:val="00126EF4"/>
    <w:rsid w:val="0012714B"/>
    <w:rsid w:val="001304C4"/>
    <w:rsid w:val="00140933"/>
    <w:rsid w:val="001444A8"/>
    <w:rsid w:val="00180CE5"/>
    <w:rsid w:val="00184F2E"/>
    <w:rsid w:val="00192903"/>
    <w:rsid w:val="001C03C0"/>
    <w:rsid w:val="001D6307"/>
    <w:rsid w:val="001D6966"/>
    <w:rsid w:val="001F335D"/>
    <w:rsid w:val="00203D7E"/>
    <w:rsid w:val="00204481"/>
    <w:rsid w:val="00206E6E"/>
    <w:rsid w:val="002339C1"/>
    <w:rsid w:val="00254409"/>
    <w:rsid w:val="00254D9A"/>
    <w:rsid w:val="00262155"/>
    <w:rsid w:val="00277AE9"/>
    <w:rsid w:val="002A25AA"/>
    <w:rsid w:val="002B6BBF"/>
    <w:rsid w:val="002C0774"/>
    <w:rsid w:val="002C46C5"/>
    <w:rsid w:val="002C6BB7"/>
    <w:rsid w:val="002E6113"/>
    <w:rsid w:val="002F03D5"/>
    <w:rsid w:val="002F0E22"/>
    <w:rsid w:val="002F720B"/>
    <w:rsid w:val="00311798"/>
    <w:rsid w:val="00313A54"/>
    <w:rsid w:val="00320DA3"/>
    <w:rsid w:val="00334303"/>
    <w:rsid w:val="00340E1B"/>
    <w:rsid w:val="00341AC5"/>
    <w:rsid w:val="003502BB"/>
    <w:rsid w:val="00352D6D"/>
    <w:rsid w:val="00355742"/>
    <w:rsid w:val="00357B7A"/>
    <w:rsid w:val="0039542A"/>
    <w:rsid w:val="003A37FE"/>
    <w:rsid w:val="003A3E83"/>
    <w:rsid w:val="003B38E2"/>
    <w:rsid w:val="003B3C8B"/>
    <w:rsid w:val="003C2416"/>
    <w:rsid w:val="003C4E27"/>
    <w:rsid w:val="003E4F8E"/>
    <w:rsid w:val="003E507B"/>
    <w:rsid w:val="003F0044"/>
    <w:rsid w:val="003F35EB"/>
    <w:rsid w:val="003F7E8F"/>
    <w:rsid w:val="004028ED"/>
    <w:rsid w:val="00403E6D"/>
    <w:rsid w:val="004124E8"/>
    <w:rsid w:val="00423AFA"/>
    <w:rsid w:val="0042631D"/>
    <w:rsid w:val="00454068"/>
    <w:rsid w:val="004717FF"/>
    <w:rsid w:val="00480975"/>
    <w:rsid w:val="004B422E"/>
    <w:rsid w:val="004D373A"/>
    <w:rsid w:val="004F33F5"/>
    <w:rsid w:val="00511172"/>
    <w:rsid w:val="00517D0F"/>
    <w:rsid w:val="005223B7"/>
    <w:rsid w:val="00530C3A"/>
    <w:rsid w:val="00532A8E"/>
    <w:rsid w:val="00550AC8"/>
    <w:rsid w:val="005717A0"/>
    <w:rsid w:val="005822B5"/>
    <w:rsid w:val="005A5E6A"/>
    <w:rsid w:val="005C38DC"/>
    <w:rsid w:val="005C403D"/>
    <w:rsid w:val="005D116B"/>
    <w:rsid w:val="005D5F2F"/>
    <w:rsid w:val="005F1D75"/>
    <w:rsid w:val="005F725E"/>
    <w:rsid w:val="00612471"/>
    <w:rsid w:val="00614B00"/>
    <w:rsid w:val="00615992"/>
    <w:rsid w:val="00624E09"/>
    <w:rsid w:val="0063050D"/>
    <w:rsid w:val="00633D51"/>
    <w:rsid w:val="00634062"/>
    <w:rsid w:val="00682899"/>
    <w:rsid w:val="00682C3C"/>
    <w:rsid w:val="006A7AED"/>
    <w:rsid w:val="006B42F9"/>
    <w:rsid w:val="006D06D6"/>
    <w:rsid w:val="007010AC"/>
    <w:rsid w:val="007046C6"/>
    <w:rsid w:val="00712274"/>
    <w:rsid w:val="00712415"/>
    <w:rsid w:val="00720AD8"/>
    <w:rsid w:val="00735AB3"/>
    <w:rsid w:val="00741C28"/>
    <w:rsid w:val="00742D00"/>
    <w:rsid w:val="007635FA"/>
    <w:rsid w:val="00763830"/>
    <w:rsid w:val="00770B78"/>
    <w:rsid w:val="00792389"/>
    <w:rsid w:val="007B0F27"/>
    <w:rsid w:val="007D15A0"/>
    <w:rsid w:val="007E7020"/>
    <w:rsid w:val="00803403"/>
    <w:rsid w:val="008132FB"/>
    <w:rsid w:val="00817FA8"/>
    <w:rsid w:val="00821B56"/>
    <w:rsid w:val="00824D04"/>
    <w:rsid w:val="00851D26"/>
    <w:rsid w:val="00861250"/>
    <w:rsid w:val="008707D3"/>
    <w:rsid w:val="008968EA"/>
    <w:rsid w:val="008D5E6F"/>
    <w:rsid w:val="008D711D"/>
    <w:rsid w:val="008E1DAA"/>
    <w:rsid w:val="008E4D7C"/>
    <w:rsid w:val="008E5F56"/>
    <w:rsid w:val="008F3193"/>
    <w:rsid w:val="00903E87"/>
    <w:rsid w:val="00933C41"/>
    <w:rsid w:val="00956916"/>
    <w:rsid w:val="00961A91"/>
    <w:rsid w:val="00974EEC"/>
    <w:rsid w:val="00990D5A"/>
    <w:rsid w:val="00992F18"/>
    <w:rsid w:val="00993B76"/>
    <w:rsid w:val="009A20E6"/>
    <w:rsid w:val="009A2184"/>
    <w:rsid w:val="009A6124"/>
    <w:rsid w:val="009E2C01"/>
    <w:rsid w:val="009E7B70"/>
    <w:rsid w:val="00A07D57"/>
    <w:rsid w:val="00A10C4F"/>
    <w:rsid w:val="00A179CF"/>
    <w:rsid w:val="00A300E9"/>
    <w:rsid w:val="00A3148D"/>
    <w:rsid w:val="00A467CA"/>
    <w:rsid w:val="00A520B3"/>
    <w:rsid w:val="00A85362"/>
    <w:rsid w:val="00A86E47"/>
    <w:rsid w:val="00A94982"/>
    <w:rsid w:val="00AA05C2"/>
    <w:rsid w:val="00AA19E5"/>
    <w:rsid w:val="00AA1AD2"/>
    <w:rsid w:val="00AB4D34"/>
    <w:rsid w:val="00AC6516"/>
    <w:rsid w:val="00AD0566"/>
    <w:rsid w:val="00AD7B16"/>
    <w:rsid w:val="00AE3ED6"/>
    <w:rsid w:val="00AF4879"/>
    <w:rsid w:val="00B00073"/>
    <w:rsid w:val="00B04326"/>
    <w:rsid w:val="00B502C4"/>
    <w:rsid w:val="00B50B06"/>
    <w:rsid w:val="00B60D8B"/>
    <w:rsid w:val="00B760BD"/>
    <w:rsid w:val="00B92758"/>
    <w:rsid w:val="00BC79A2"/>
    <w:rsid w:val="00BD3B4B"/>
    <w:rsid w:val="00BD67DF"/>
    <w:rsid w:val="00BD7533"/>
    <w:rsid w:val="00BE3A88"/>
    <w:rsid w:val="00C02779"/>
    <w:rsid w:val="00C300AF"/>
    <w:rsid w:val="00C32F2B"/>
    <w:rsid w:val="00C5025D"/>
    <w:rsid w:val="00C5070C"/>
    <w:rsid w:val="00C735CA"/>
    <w:rsid w:val="00C817B3"/>
    <w:rsid w:val="00C90498"/>
    <w:rsid w:val="00C921AB"/>
    <w:rsid w:val="00CA530C"/>
    <w:rsid w:val="00CA53CE"/>
    <w:rsid w:val="00CB1FB5"/>
    <w:rsid w:val="00CB49CF"/>
    <w:rsid w:val="00CC1E53"/>
    <w:rsid w:val="00CE6D02"/>
    <w:rsid w:val="00CF2AE7"/>
    <w:rsid w:val="00CF3964"/>
    <w:rsid w:val="00CF6AE3"/>
    <w:rsid w:val="00D01945"/>
    <w:rsid w:val="00D07B98"/>
    <w:rsid w:val="00D1617A"/>
    <w:rsid w:val="00D54C0A"/>
    <w:rsid w:val="00D76980"/>
    <w:rsid w:val="00D81BCB"/>
    <w:rsid w:val="00D9789B"/>
    <w:rsid w:val="00DA37E9"/>
    <w:rsid w:val="00DB64C1"/>
    <w:rsid w:val="00DB77E4"/>
    <w:rsid w:val="00DC6365"/>
    <w:rsid w:val="00DD2847"/>
    <w:rsid w:val="00DE0C6D"/>
    <w:rsid w:val="00E0130B"/>
    <w:rsid w:val="00E023C4"/>
    <w:rsid w:val="00E05510"/>
    <w:rsid w:val="00E05D93"/>
    <w:rsid w:val="00E30D0A"/>
    <w:rsid w:val="00E64F46"/>
    <w:rsid w:val="00E70BF8"/>
    <w:rsid w:val="00E735FB"/>
    <w:rsid w:val="00E95BC9"/>
    <w:rsid w:val="00E96AE3"/>
    <w:rsid w:val="00EA2275"/>
    <w:rsid w:val="00EA606F"/>
    <w:rsid w:val="00EA65EF"/>
    <w:rsid w:val="00EB0E4C"/>
    <w:rsid w:val="00ED6AC5"/>
    <w:rsid w:val="00EF3278"/>
    <w:rsid w:val="00EF7574"/>
    <w:rsid w:val="00F0254E"/>
    <w:rsid w:val="00F06E17"/>
    <w:rsid w:val="00F11069"/>
    <w:rsid w:val="00F23A89"/>
    <w:rsid w:val="00F27918"/>
    <w:rsid w:val="00F74D1D"/>
    <w:rsid w:val="00F914E2"/>
    <w:rsid w:val="00F94AEF"/>
    <w:rsid w:val="00F94C5D"/>
    <w:rsid w:val="00FA095C"/>
    <w:rsid w:val="00FA3B90"/>
    <w:rsid w:val="00FB7BF2"/>
    <w:rsid w:val="00FC22BE"/>
    <w:rsid w:val="00FC33D6"/>
    <w:rsid w:val="00FD1314"/>
    <w:rsid w:val="00FD5796"/>
    <w:rsid w:val="00FD59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A4FBBB2"/>
  <w15:docId w15:val="{48B8AFC1-4733-4601-9AC0-85A00DEE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3B38E2"/>
    <w:pPr>
      <w:keepNext/>
      <w:spacing w:before="360" w:after="120"/>
      <w:jc w:val="both"/>
      <w:outlineLvl w:val="1"/>
    </w:pPr>
    <w:rPr>
      <w:rFonts w:ascii="Arial" w:hAnsi="Arial"/>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ascii="Arial" w:eastAsia="Calibri" w:hAnsi="Arial"/>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link w:val="HeaderChar"/>
    <w:uiPriority w:val="99"/>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uiPriority w:val="99"/>
    <w:rsid w:val="003502BB"/>
    <w:rPr>
      <w:sz w:val="20"/>
      <w:szCs w:val="20"/>
    </w:rPr>
  </w:style>
  <w:style w:type="character" w:customStyle="1" w:styleId="FootnoteTextChar">
    <w:name w:val="Footnote Text Char"/>
    <w:basedOn w:val="DefaultParagraphFont"/>
    <w:link w:val="FootnoteText"/>
    <w:uiPriority w:val="99"/>
    <w:rsid w:val="003502BB"/>
  </w:style>
  <w:style w:type="character" w:styleId="FootnoteReference">
    <w:name w:val="footnote reference"/>
    <w:uiPriority w:val="99"/>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link w:val="SubsectionChar"/>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rFonts w:ascii="Arial" w:hAnsi="Arial"/>
      <w:szCs w:val="20"/>
    </w:rPr>
  </w:style>
  <w:style w:type="character" w:customStyle="1" w:styleId="Heading3Char">
    <w:name w:val="Heading 3 Char"/>
    <w:basedOn w:val="DefaultParagraphFont"/>
    <w:link w:val="Heading3"/>
    <w:rsid w:val="00CA53CE"/>
    <w:rPr>
      <w:rFonts w:ascii="Arial" w:hAnsi="Arial" w:cs="Arial"/>
      <w:b/>
      <w:bCs/>
      <w:sz w:val="26"/>
      <w:szCs w:val="26"/>
    </w:rPr>
  </w:style>
  <w:style w:type="table" w:styleId="TableGrid">
    <w:name w:val="Table Grid"/>
    <w:basedOn w:val="TableNormal"/>
    <w:uiPriority w:val="59"/>
    <w:rsid w:val="005F72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14B00"/>
    <w:rPr>
      <w:sz w:val="24"/>
      <w:szCs w:val="24"/>
    </w:rPr>
  </w:style>
  <w:style w:type="paragraph" w:styleId="BodyText3">
    <w:name w:val="Body Text 3"/>
    <w:basedOn w:val="Normal"/>
    <w:link w:val="BodyText3Char"/>
    <w:uiPriority w:val="99"/>
    <w:semiHidden/>
    <w:unhideWhenUsed/>
    <w:rsid w:val="0012027A"/>
    <w:pPr>
      <w:spacing w:after="120"/>
    </w:pPr>
    <w:rPr>
      <w:rFonts w:ascii="Arial" w:eastAsiaTheme="minorHAnsi" w:hAnsi="Arial" w:cs="Arial"/>
      <w:sz w:val="16"/>
      <w:szCs w:val="16"/>
    </w:rPr>
  </w:style>
  <w:style w:type="character" w:customStyle="1" w:styleId="BodyText3Char">
    <w:name w:val="Body Text 3 Char"/>
    <w:basedOn w:val="DefaultParagraphFont"/>
    <w:link w:val="BodyText3"/>
    <w:uiPriority w:val="99"/>
    <w:semiHidden/>
    <w:rsid w:val="0012027A"/>
    <w:rPr>
      <w:rFonts w:ascii="Arial" w:eastAsiaTheme="minorHAnsi" w:hAnsi="Arial" w:cs="Arial"/>
      <w:sz w:val="16"/>
      <w:szCs w:val="16"/>
    </w:rPr>
  </w:style>
  <w:style w:type="paragraph" w:styleId="PlainText">
    <w:name w:val="Plain Text"/>
    <w:basedOn w:val="Normal"/>
    <w:link w:val="PlainTextChar"/>
    <w:uiPriority w:val="99"/>
    <w:semiHidden/>
    <w:unhideWhenUsed/>
    <w:rsid w:val="0012027A"/>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12027A"/>
    <w:rPr>
      <w:rFonts w:ascii="Calibri" w:eastAsiaTheme="minorHAnsi" w:hAnsi="Calibri" w:cs="Calibri"/>
      <w:sz w:val="22"/>
      <w:szCs w:val="22"/>
      <w:lang w:eastAsia="en-US"/>
    </w:rPr>
  </w:style>
  <w:style w:type="character" w:customStyle="1" w:styleId="SubsectionChar">
    <w:name w:val="Subsection Char"/>
    <w:basedOn w:val="DefaultParagraphFont"/>
    <w:link w:val="Subsection"/>
    <w:locked/>
    <w:rsid w:val="0012027A"/>
    <w:rPr>
      <w:rFonts w:ascii="Helvetica" w:hAnsi="Helvetica"/>
      <w:sz w:val="24"/>
      <w:szCs w:val="24"/>
    </w:rPr>
  </w:style>
  <w:style w:type="paragraph" w:customStyle="1" w:styleId="cunumber3">
    <w:name w:val="cunumber3"/>
    <w:basedOn w:val="Normal"/>
    <w:rsid w:val="0012027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08324">
      <w:bodyDiv w:val="1"/>
      <w:marLeft w:val="0"/>
      <w:marRight w:val="0"/>
      <w:marTop w:val="0"/>
      <w:marBottom w:val="0"/>
      <w:divBdr>
        <w:top w:val="none" w:sz="0" w:space="0" w:color="auto"/>
        <w:left w:val="none" w:sz="0" w:space="0" w:color="auto"/>
        <w:bottom w:val="none" w:sz="0" w:space="0" w:color="auto"/>
        <w:right w:val="none" w:sz="0" w:space="0" w:color="auto"/>
      </w:divBdr>
    </w:div>
    <w:div w:id="28620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C487B-F6BF-4201-BBE9-BA8B1814F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1515</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8950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TSmart</dc:creator>
  <cp:lastModifiedBy>Louise Ranger</cp:lastModifiedBy>
  <cp:revision>5</cp:revision>
  <cp:lastPrinted>2018-02-13T00:30:00Z</cp:lastPrinted>
  <dcterms:created xsi:type="dcterms:W3CDTF">2018-02-12T23:54:00Z</dcterms:created>
  <dcterms:modified xsi:type="dcterms:W3CDTF">2018-02-13T00:52:00Z</dcterms:modified>
</cp:coreProperties>
</file>