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inorHAnsi" w:hAnsi="Arial" w:cs="Arial"/>
          <w:b/>
        </w:rPr>
        <w:alias w:val="Title"/>
        <w:tag w:val="Title"/>
        <w:id w:val="-509987125"/>
        <w:lock w:val="sdtLocked"/>
        <w:placeholder>
          <w:docPart w:val="E32279C96D4D4ECC9296C5D75B777274"/>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301AEE" w:rsidP="00886C9D">
          <w:pPr>
            <w:pStyle w:val="Title"/>
          </w:pPr>
          <w:r w:rsidRPr="00301AEE">
            <w:rPr>
              <w:rFonts w:ascii="Arial" w:eastAsiaTheme="minorHAnsi" w:hAnsi="Arial" w:cs="Arial"/>
              <w:b/>
            </w:rPr>
            <w:t>The transition from youth to adult custody in the Northern Territory</w:t>
          </w:r>
        </w:p>
      </w:sdtContent>
    </w:sdt>
    <w:p w:rsidR="00BD0F38" w:rsidRPr="00E77ACA" w:rsidRDefault="00BD0F38" w:rsidP="00E77ACA">
      <w:pPr>
        <w:pStyle w:val="Subtitle0"/>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p>
    <w:tbl>
      <w:tblPr>
        <w:tblStyle w:val="NTGtable1"/>
        <w:tblW w:w="10348" w:type="dxa"/>
        <w:tblLook w:val="0480" w:firstRow="0" w:lastRow="0" w:firstColumn="1" w:lastColumn="0" w:noHBand="0" w:noVBand="1"/>
      </w:tblPr>
      <w:tblGrid>
        <w:gridCol w:w="2410"/>
        <w:gridCol w:w="7938"/>
      </w:tblGrid>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rsidR="00832B35" w:rsidRPr="00050358" w:rsidRDefault="004C680B" w:rsidP="00050358">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34ECC3ED156040E0B48D504B3FA44AC3"/>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301AEE">
                  <w:t>The transition from youth to adult custody in the Northern Territory</w:t>
                </w:r>
              </w:sdtContent>
            </w:sdt>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rsidR="00E91A5A" w:rsidRDefault="00E91A5A" w:rsidP="00E459B8">
            <w:pPr>
              <w:cnfStyle w:val="000000010000" w:firstRow="0" w:lastRow="0" w:firstColumn="0" w:lastColumn="0" w:oddVBand="0" w:evenVBand="0" w:oddHBand="0" w:evenHBand="1" w:firstRowFirstColumn="0" w:firstRowLastColumn="0" w:lastRowFirstColumn="0" w:lastRowLastColumn="0"/>
            </w:pPr>
            <w:r>
              <w:t>Criminal Justice Research and Statistics Unit</w:t>
            </w:r>
          </w:p>
          <w:p w:rsidR="00832B35" w:rsidRPr="00050358" w:rsidRDefault="00C17E3A" w:rsidP="00E459B8">
            <w:pPr>
              <w:cnfStyle w:val="000000010000" w:firstRow="0" w:lastRow="0" w:firstColumn="0" w:lastColumn="0" w:oddVBand="0" w:evenVBand="0" w:oddHBand="0" w:evenHBand="1" w:firstRowFirstColumn="0" w:firstRowLastColumn="0" w:lastRowFirstColumn="0" w:lastRowLastColumn="0"/>
            </w:pPr>
            <w:r>
              <w:t>Department of the Attorney-General and Justice</w:t>
            </w:r>
          </w:p>
        </w:tc>
      </w:tr>
      <w:tr w:rsidR="00E91A5A"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tcPr>
          <w:p w:rsidR="00E91A5A" w:rsidRPr="00FB0A2D" w:rsidRDefault="00E91A5A" w:rsidP="00050358">
            <w:pPr>
              <w:rPr>
                <w:b/>
                <w:color w:val="FFFFFF" w:themeColor="background1"/>
              </w:rPr>
            </w:pPr>
            <w:r>
              <w:rPr>
                <w:b/>
                <w:color w:val="FFFFFF" w:themeColor="background1"/>
              </w:rPr>
              <w:t>Author</w:t>
            </w:r>
          </w:p>
        </w:tc>
        <w:tc>
          <w:tcPr>
            <w:tcW w:w="7938" w:type="dxa"/>
            <w:tcBorders>
              <w:top w:val="nil"/>
              <w:left w:val="single" w:sz="4" w:space="0" w:color="1F1F5F" w:themeColor="text1"/>
              <w:bottom w:val="nil"/>
              <w:right w:val="single" w:sz="4" w:space="0" w:color="1F1F5F" w:themeColor="text1"/>
            </w:tcBorders>
          </w:tcPr>
          <w:p w:rsidR="00E91A5A" w:rsidRDefault="00E91A5A" w:rsidP="00E459B8">
            <w:pPr>
              <w:cnfStyle w:val="000000100000" w:firstRow="0" w:lastRow="0" w:firstColumn="0" w:lastColumn="0" w:oddVBand="0" w:evenVBand="0" w:oddHBand="1" w:evenHBand="0" w:firstRowFirstColumn="0" w:firstRowLastColumn="0" w:lastRowFirstColumn="0" w:lastRowLastColumn="0"/>
            </w:pPr>
            <w:r>
              <w:t>Joy Jose Mingi</w:t>
            </w:r>
          </w:p>
        </w:tc>
      </w:tr>
      <w:tr w:rsidR="00832B35"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rsidR="00832B35" w:rsidRPr="00050358" w:rsidRDefault="00D5439A" w:rsidP="00050358">
            <w:pPr>
              <w:cnfStyle w:val="000000010000" w:firstRow="0" w:lastRow="0" w:firstColumn="0" w:lastColumn="0" w:oddVBand="0" w:evenVBand="0" w:oddHBand="0" w:evenHBand="1" w:firstRowFirstColumn="0" w:firstRowLastColumn="0" w:lastRowFirstColumn="0" w:lastRowLastColumn="0"/>
            </w:pPr>
            <w:r>
              <w:t>Gemma Lake</w:t>
            </w:r>
          </w:p>
        </w:tc>
      </w:tr>
      <w:tr w:rsidR="00832B35"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rsidR="00832B35" w:rsidRPr="00050358" w:rsidRDefault="00D5439A" w:rsidP="00050358">
            <w:pPr>
              <w:cnfStyle w:val="000000100000" w:firstRow="0" w:lastRow="0" w:firstColumn="0" w:lastColumn="0" w:oddVBand="0" w:evenVBand="0" w:oddHBand="1" w:evenHBand="0" w:firstRowFirstColumn="0" w:firstRowLastColumn="0" w:lastRowFirstColumn="0" w:lastRowLastColumn="0"/>
            </w:pPr>
            <w:r>
              <w:t>15 April 2021</w:t>
            </w:r>
          </w:p>
        </w:tc>
      </w:tr>
      <w:tr w:rsidR="00832B35" w:rsidTr="002E472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rsidR="00832B35" w:rsidRPr="00FB0A2D" w:rsidRDefault="00832B35" w:rsidP="00050358">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tcPr>
          <w:p w:rsidR="00832B35" w:rsidRPr="00050358" w:rsidRDefault="0071790A" w:rsidP="00050358">
            <w:pPr>
              <w:cnfStyle w:val="000000010000" w:firstRow="0" w:lastRow="0" w:firstColumn="0" w:lastColumn="0" w:oddVBand="0" w:evenVBand="0" w:oddHBand="0" w:evenHBand="1" w:firstRowFirstColumn="0" w:firstRowLastColumn="0" w:lastRowFirstColumn="0" w:lastRowLastColumn="0"/>
            </w:pPr>
            <w:r>
              <w:t>2020/2663/0002~0001</w:t>
            </w:r>
          </w:p>
        </w:tc>
      </w:tr>
    </w:tbl>
    <w:p w:rsidR="00832B35" w:rsidRDefault="00832B35" w:rsidP="00702D61"/>
    <w:tbl>
      <w:tblPr>
        <w:tblStyle w:val="NTGtable1"/>
        <w:tblW w:w="10341" w:type="dxa"/>
        <w:tblLayout w:type="fixed"/>
        <w:tblLook w:val="0120" w:firstRow="1" w:lastRow="0" w:firstColumn="0" w:lastColumn="1" w:noHBand="0" w:noVBand="0"/>
      </w:tblPr>
      <w:tblGrid>
        <w:gridCol w:w="1696"/>
        <w:gridCol w:w="2410"/>
        <w:gridCol w:w="2552"/>
        <w:gridCol w:w="3683"/>
      </w:tblGrid>
      <w:tr w:rsidR="003223FE" w:rsidRPr="00050358" w:rsidTr="00C17E3A">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696" w:type="dxa"/>
          </w:tcPr>
          <w:p w:rsidR="003223FE" w:rsidRPr="00050358" w:rsidRDefault="003223FE" w:rsidP="00050358">
            <w:r w:rsidRPr="00050358">
              <w:t>Version</w:t>
            </w:r>
          </w:p>
        </w:tc>
        <w:tc>
          <w:tcPr>
            <w:cnfStyle w:val="000001000000" w:firstRow="0" w:lastRow="0" w:firstColumn="0" w:lastColumn="0" w:oddVBand="0" w:evenVBand="1" w:oddHBand="0" w:evenHBand="0" w:firstRowFirstColumn="0" w:firstRowLastColumn="0" w:lastRowFirstColumn="0" w:lastRowLastColumn="0"/>
            <w:tcW w:w="2410" w:type="dxa"/>
          </w:tcPr>
          <w:p w:rsidR="003223FE" w:rsidRPr="00050358" w:rsidRDefault="003223FE" w:rsidP="00050358">
            <w:r w:rsidRPr="00050358">
              <w:t>Date</w:t>
            </w:r>
          </w:p>
        </w:tc>
        <w:tc>
          <w:tcPr>
            <w:cnfStyle w:val="000010000000" w:firstRow="0" w:lastRow="0" w:firstColumn="0" w:lastColumn="0" w:oddVBand="1" w:evenVBand="0" w:oddHBand="0" w:evenHBand="0" w:firstRowFirstColumn="0" w:firstRowLastColumn="0" w:lastRowFirstColumn="0" w:lastRowLastColumn="0"/>
            <w:tcW w:w="2552" w:type="dxa"/>
          </w:tcPr>
          <w:p w:rsidR="003223FE" w:rsidRPr="00050358" w:rsidRDefault="003223FE" w:rsidP="00050358">
            <w:r w:rsidRPr="00050358">
              <w:t>Author</w:t>
            </w:r>
          </w:p>
        </w:tc>
        <w:tc>
          <w:tcPr>
            <w:cnfStyle w:val="000100001000" w:firstRow="0" w:lastRow="0" w:firstColumn="0" w:lastColumn="1" w:oddVBand="0" w:evenVBand="0" w:oddHBand="0" w:evenHBand="0" w:firstRowFirstColumn="0" w:firstRowLastColumn="1" w:lastRowFirstColumn="0" w:lastRowLastColumn="0"/>
            <w:tcW w:w="3683" w:type="dxa"/>
          </w:tcPr>
          <w:p w:rsidR="003223FE" w:rsidRPr="00050358" w:rsidRDefault="003223FE" w:rsidP="00050358">
            <w:r w:rsidRPr="00050358">
              <w:t>Changes made</w:t>
            </w:r>
          </w:p>
        </w:tc>
      </w:tr>
      <w:tr w:rsidR="003223FE" w:rsidRPr="00050358" w:rsidTr="00C17E3A">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696" w:type="dxa"/>
          </w:tcPr>
          <w:p w:rsidR="003223FE" w:rsidRPr="00050358" w:rsidRDefault="00C17E3A" w:rsidP="00254BF4">
            <w:r>
              <w:t>Version 1.0</w:t>
            </w:r>
          </w:p>
        </w:tc>
        <w:tc>
          <w:tcPr>
            <w:cnfStyle w:val="000001000000" w:firstRow="0" w:lastRow="0" w:firstColumn="0" w:lastColumn="0" w:oddVBand="0" w:evenVBand="1" w:oddHBand="0" w:evenHBand="0" w:firstRowFirstColumn="0" w:firstRowLastColumn="0" w:lastRowFirstColumn="0" w:lastRowLastColumn="0"/>
            <w:tcW w:w="2410" w:type="dxa"/>
          </w:tcPr>
          <w:p w:rsidR="003223FE" w:rsidRPr="00050358" w:rsidRDefault="00C17E3A" w:rsidP="00254BF4">
            <w:r>
              <w:t>04 November 2020</w:t>
            </w:r>
          </w:p>
        </w:tc>
        <w:tc>
          <w:tcPr>
            <w:cnfStyle w:val="000010000000" w:firstRow="0" w:lastRow="0" w:firstColumn="0" w:lastColumn="0" w:oddVBand="1" w:evenVBand="0" w:oddHBand="0" w:evenHBand="0" w:firstRowFirstColumn="0" w:firstRowLastColumn="0" w:lastRowFirstColumn="0" w:lastRowLastColumn="0"/>
            <w:tcW w:w="2552" w:type="dxa"/>
          </w:tcPr>
          <w:p w:rsidR="003223FE" w:rsidRPr="00050358" w:rsidRDefault="00C17E3A" w:rsidP="00254BF4">
            <w:r>
              <w:t>Joy Jose Mingi</w:t>
            </w:r>
          </w:p>
        </w:tc>
        <w:tc>
          <w:tcPr>
            <w:cnfStyle w:val="000100000000" w:firstRow="0" w:lastRow="0" w:firstColumn="0" w:lastColumn="1" w:oddVBand="0" w:evenVBand="0" w:oddHBand="0" w:evenHBand="0" w:firstRowFirstColumn="0" w:firstRowLastColumn="0" w:lastRowFirstColumn="0" w:lastRowLastColumn="0"/>
            <w:tcW w:w="3683" w:type="dxa"/>
          </w:tcPr>
          <w:p w:rsidR="003223FE" w:rsidRPr="00050358" w:rsidRDefault="00124E78" w:rsidP="00C17E3A">
            <w:r>
              <w:t>1</w:t>
            </w:r>
            <w:r w:rsidRPr="00124E78">
              <w:rPr>
                <w:vertAlign w:val="superscript"/>
              </w:rPr>
              <w:t>st</w:t>
            </w:r>
            <w:r>
              <w:t xml:space="preserve"> draft</w:t>
            </w:r>
          </w:p>
        </w:tc>
      </w:tr>
      <w:tr w:rsidR="00254BF4" w:rsidRPr="00050358" w:rsidTr="00C17E3A">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696" w:type="dxa"/>
            <w:tcBorders>
              <w:bottom w:val="nil"/>
            </w:tcBorders>
          </w:tcPr>
          <w:p w:rsidR="00254BF4" w:rsidRPr="00050358" w:rsidRDefault="00254BF4" w:rsidP="00270A49">
            <w:r>
              <w:t xml:space="preserve">Version </w:t>
            </w:r>
            <w:r w:rsidR="00270A49">
              <w:t>1.1</w:t>
            </w:r>
          </w:p>
        </w:tc>
        <w:tc>
          <w:tcPr>
            <w:cnfStyle w:val="000001000000" w:firstRow="0" w:lastRow="0" w:firstColumn="0" w:lastColumn="0" w:oddVBand="0" w:evenVBand="1" w:oddHBand="0" w:evenHBand="0" w:firstRowFirstColumn="0" w:firstRowLastColumn="0" w:lastRowFirstColumn="0" w:lastRowLastColumn="0"/>
            <w:tcW w:w="2410" w:type="dxa"/>
            <w:tcBorders>
              <w:bottom w:val="nil"/>
            </w:tcBorders>
          </w:tcPr>
          <w:p w:rsidR="00254BF4" w:rsidRPr="00050358" w:rsidRDefault="00254BF4" w:rsidP="00254BF4">
            <w:r>
              <w:t>06 November 2020</w:t>
            </w:r>
          </w:p>
        </w:tc>
        <w:tc>
          <w:tcPr>
            <w:cnfStyle w:val="000010000000" w:firstRow="0" w:lastRow="0" w:firstColumn="0" w:lastColumn="0" w:oddVBand="1" w:evenVBand="0" w:oddHBand="0" w:evenHBand="0" w:firstRowFirstColumn="0" w:firstRowLastColumn="0" w:lastRowFirstColumn="0" w:lastRowLastColumn="0"/>
            <w:tcW w:w="2552" w:type="dxa"/>
            <w:tcBorders>
              <w:bottom w:val="nil"/>
            </w:tcBorders>
          </w:tcPr>
          <w:p w:rsidR="00254BF4" w:rsidRPr="00050358" w:rsidRDefault="00254BF4" w:rsidP="00254BF4">
            <w:r>
              <w:t>Joy Jose Mingi &amp; Carolyn Whyte</w:t>
            </w:r>
          </w:p>
        </w:tc>
        <w:tc>
          <w:tcPr>
            <w:cnfStyle w:val="000100000000" w:firstRow="0" w:lastRow="0" w:firstColumn="0" w:lastColumn="1" w:oddVBand="0" w:evenVBand="0" w:oddHBand="0" w:evenHBand="0" w:firstRowFirstColumn="0" w:firstRowLastColumn="0" w:lastRowFirstColumn="0" w:lastRowLastColumn="0"/>
            <w:tcW w:w="3683" w:type="dxa"/>
            <w:tcBorders>
              <w:bottom w:val="nil"/>
            </w:tcBorders>
          </w:tcPr>
          <w:p w:rsidR="00254BF4" w:rsidRPr="00270A49" w:rsidRDefault="00124E78" w:rsidP="002E4720">
            <w:r>
              <w:t>Document</w:t>
            </w:r>
            <w:r w:rsidR="002E4720">
              <w:t xml:space="preserve"> revision based on comments from CJRSU Director, Carolyn Whyte</w:t>
            </w:r>
          </w:p>
        </w:tc>
      </w:tr>
    </w:tbl>
    <w:p w:rsidR="003223FE" w:rsidRDefault="003223FE" w:rsidP="00702D61"/>
    <w:p w:rsidR="00702D61" w:rsidRDefault="00702D61" w:rsidP="00702D61">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F479D5">
          <w:pPr>
            <w:pStyle w:val="TOCHeading"/>
            <w:tabs>
              <w:tab w:val="left" w:pos="8601"/>
            </w:tabs>
            <w:rPr>
              <w:lang w:eastAsia="ja-JP"/>
            </w:rPr>
          </w:pPr>
          <w:r w:rsidRPr="00422874">
            <w:t>Contents</w:t>
          </w:r>
        </w:p>
        <w:p w:rsidR="00CF776D" w:rsidRDefault="006747E0">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55569845" w:history="1">
            <w:r w:rsidR="00CF776D" w:rsidRPr="0076568A">
              <w:rPr>
                <w:rStyle w:val="Hyperlink"/>
                <w:noProof/>
                <w:shd w:val="clear" w:color="auto" w:fill="FFFFFF"/>
              </w:rPr>
              <w:t>Executive Summary</w:t>
            </w:r>
            <w:r w:rsidR="00CF776D">
              <w:rPr>
                <w:noProof/>
                <w:webHidden/>
              </w:rPr>
              <w:tab/>
            </w:r>
            <w:r w:rsidR="00CF776D">
              <w:rPr>
                <w:noProof/>
                <w:webHidden/>
              </w:rPr>
              <w:fldChar w:fldCharType="begin"/>
            </w:r>
            <w:r w:rsidR="00CF776D">
              <w:rPr>
                <w:noProof/>
                <w:webHidden/>
              </w:rPr>
              <w:instrText xml:space="preserve"> PAGEREF _Toc55569845 \h </w:instrText>
            </w:r>
            <w:r w:rsidR="00CF776D">
              <w:rPr>
                <w:noProof/>
                <w:webHidden/>
              </w:rPr>
            </w:r>
            <w:r w:rsidR="00CF776D">
              <w:rPr>
                <w:noProof/>
                <w:webHidden/>
              </w:rPr>
              <w:fldChar w:fldCharType="separate"/>
            </w:r>
            <w:r w:rsidR="00E91A5A">
              <w:rPr>
                <w:noProof/>
                <w:webHidden/>
              </w:rPr>
              <w:t>4</w:t>
            </w:r>
            <w:r w:rsidR="00CF776D">
              <w:rPr>
                <w:noProof/>
                <w:webHidden/>
              </w:rPr>
              <w:fldChar w:fldCharType="end"/>
            </w:r>
          </w:hyperlink>
        </w:p>
        <w:p w:rsidR="00CF776D" w:rsidRDefault="004C680B">
          <w:pPr>
            <w:pStyle w:val="TOC1"/>
            <w:rPr>
              <w:rFonts w:asciiTheme="minorHAnsi" w:eastAsiaTheme="minorEastAsia" w:hAnsiTheme="minorHAnsi" w:cstheme="minorBidi"/>
              <w:b w:val="0"/>
              <w:noProof/>
              <w:lang w:eastAsia="en-AU"/>
            </w:rPr>
          </w:pPr>
          <w:hyperlink w:anchor="_Toc55569846" w:history="1">
            <w:r w:rsidR="00CF776D" w:rsidRPr="0076568A">
              <w:rPr>
                <w:rStyle w:val="Hyperlink"/>
                <w:noProof/>
              </w:rPr>
              <w:t>1. Introduction</w:t>
            </w:r>
            <w:r w:rsidR="00CF776D">
              <w:rPr>
                <w:noProof/>
                <w:webHidden/>
              </w:rPr>
              <w:tab/>
            </w:r>
            <w:r w:rsidR="00CF776D">
              <w:rPr>
                <w:noProof/>
                <w:webHidden/>
              </w:rPr>
              <w:fldChar w:fldCharType="begin"/>
            </w:r>
            <w:r w:rsidR="00CF776D">
              <w:rPr>
                <w:noProof/>
                <w:webHidden/>
              </w:rPr>
              <w:instrText xml:space="preserve"> PAGEREF _Toc55569846 \h </w:instrText>
            </w:r>
            <w:r w:rsidR="00CF776D">
              <w:rPr>
                <w:noProof/>
                <w:webHidden/>
              </w:rPr>
            </w:r>
            <w:r w:rsidR="00CF776D">
              <w:rPr>
                <w:noProof/>
                <w:webHidden/>
              </w:rPr>
              <w:fldChar w:fldCharType="separate"/>
            </w:r>
            <w:r w:rsidR="00E91A5A">
              <w:rPr>
                <w:noProof/>
                <w:webHidden/>
              </w:rPr>
              <w:t>5</w:t>
            </w:r>
            <w:r w:rsidR="00CF776D">
              <w:rPr>
                <w:noProof/>
                <w:webHidden/>
              </w:rPr>
              <w:fldChar w:fldCharType="end"/>
            </w:r>
          </w:hyperlink>
        </w:p>
        <w:p w:rsidR="00CF776D" w:rsidRDefault="004C680B">
          <w:pPr>
            <w:pStyle w:val="TOC1"/>
            <w:rPr>
              <w:rFonts w:asciiTheme="minorHAnsi" w:eastAsiaTheme="minorEastAsia" w:hAnsiTheme="minorHAnsi" w:cstheme="minorBidi"/>
              <w:b w:val="0"/>
              <w:noProof/>
              <w:lang w:eastAsia="en-AU"/>
            </w:rPr>
          </w:pPr>
          <w:hyperlink w:anchor="_Toc55569847" w:history="1">
            <w:r w:rsidR="00CF776D" w:rsidRPr="0076568A">
              <w:rPr>
                <w:rStyle w:val="Hyperlink"/>
                <w:noProof/>
              </w:rPr>
              <w:t>2. Methods</w:t>
            </w:r>
            <w:r w:rsidR="00CF776D">
              <w:rPr>
                <w:noProof/>
                <w:webHidden/>
              </w:rPr>
              <w:tab/>
            </w:r>
            <w:r w:rsidR="00CF776D">
              <w:rPr>
                <w:noProof/>
                <w:webHidden/>
              </w:rPr>
              <w:fldChar w:fldCharType="begin"/>
            </w:r>
            <w:r w:rsidR="00CF776D">
              <w:rPr>
                <w:noProof/>
                <w:webHidden/>
              </w:rPr>
              <w:instrText xml:space="preserve"> PAGEREF _Toc55569847 \h </w:instrText>
            </w:r>
            <w:r w:rsidR="00CF776D">
              <w:rPr>
                <w:noProof/>
                <w:webHidden/>
              </w:rPr>
            </w:r>
            <w:r w:rsidR="00CF776D">
              <w:rPr>
                <w:noProof/>
                <w:webHidden/>
              </w:rPr>
              <w:fldChar w:fldCharType="separate"/>
            </w:r>
            <w:r w:rsidR="00E91A5A">
              <w:rPr>
                <w:noProof/>
                <w:webHidden/>
              </w:rPr>
              <w:t>7</w:t>
            </w:r>
            <w:r w:rsidR="00CF776D">
              <w:rPr>
                <w:noProof/>
                <w:webHidden/>
              </w:rPr>
              <w:fldChar w:fldCharType="end"/>
            </w:r>
          </w:hyperlink>
        </w:p>
        <w:p w:rsidR="00CF776D" w:rsidRDefault="004C680B">
          <w:pPr>
            <w:pStyle w:val="TOC2"/>
            <w:rPr>
              <w:rFonts w:asciiTheme="minorHAnsi" w:eastAsiaTheme="minorEastAsia" w:hAnsiTheme="minorHAnsi" w:cstheme="minorBidi"/>
              <w:noProof/>
              <w:lang w:eastAsia="en-AU"/>
            </w:rPr>
          </w:pPr>
          <w:hyperlink w:anchor="_Toc55569848" w:history="1">
            <w:r w:rsidR="00CF776D" w:rsidRPr="0076568A">
              <w:rPr>
                <w:rStyle w:val="Hyperlink"/>
                <w:noProof/>
              </w:rPr>
              <w:t>2.1. Study population</w:t>
            </w:r>
            <w:r w:rsidR="00CF776D">
              <w:rPr>
                <w:noProof/>
                <w:webHidden/>
              </w:rPr>
              <w:tab/>
            </w:r>
            <w:r w:rsidR="00CF776D">
              <w:rPr>
                <w:noProof/>
                <w:webHidden/>
              </w:rPr>
              <w:fldChar w:fldCharType="begin"/>
            </w:r>
            <w:r w:rsidR="00CF776D">
              <w:rPr>
                <w:noProof/>
                <w:webHidden/>
              </w:rPr>
              <w:instrText xml:space="preserve"> PAGEREF _Toc55569848 \h </w:instrText>
            </w:r>
            <w:r w:rsidR="00CF776D">
              <w:rPr>
                <w:noProof/>
                <w:webHidden/>
              </w:rPr>
            </w:r>
            <w:r w:rsidR="00CF776D">
              <w:rPr>
                <w:noProof/>
                <w:webHidden/>
              </w:rPr>
              <w:fldChar w:fldCharType="separate"/>
            </w:r>
            <w:r w:rsidR="00E91A5A">
              <w:rPr>
                <w:noProof/>
                <w:webHidden/>
              </w:rPr>
              <w:t>7</w:t>
            </w:r>
            <w:r w:rsidR="00CF776D">
              <w:rPr>
                <w:noProof/>
                <w:webHidden/>
              </w:rPr>
              <w:fldChar w:fldCharType="end"/>
            </w:r>
          </w:hyperlink>
        </w:p>
        <w:p w:rsidR="00CF776D" w:rsidRDefault="004C680B">
          <w:pPr>
            <w:pStyle w:val="TOC2"/>
            <w:rPr>
              <w:rFonts w:asciiTheme="minorHAnsi" w:eastAsiaTheme="minorEastAsia" w:hAnsiTheme="minorHAnsi" w:cstheme="minorBidi"/>
              <w:noProof/>
              <w:lang w:eastAsia="en-AU"/>
            </w:rPr>
          </w:pPr>
          <w:hyperlink w:anchor="_Toc55569849" w:history="1">
            <w:r w:rsidR="00CF776D" w:rsidRPr="0076568A">
              <w:rPr>
                <w:rStyle w:val="Hyperlink"/>
                <w:noProof/>
              </w:rPr>
              <w:t>2.2. Data</w:t>
            </w:r>
            <w:r w:rsidR="00CF776D">
              <w:rPr>
                <w:noProof/>
                <w:webHidden/>
              </w:rPr>
              <w:tab/>
            </w:r>
            <w:r w:rsidR="00CF776D">
              <w:rPr>
                <w:noProof/>
                <w:webHidden/>
              </w:rPr>
              <w:fldChar w:fldCharType="begin"/>
            </w:r>
            <w:r w:rsidR="00CF776D">
              <w:rPr>
                <w:noProof/>
                <w:webHidden/>
              </w:rPr>
              <w:instrText xml:space="preserve"> PAGEREF _Toc55569849 \h </w:instrText>
            </w:r>
            <w:r w:rsidR="00CF776D">
              <w:rPr>
                <w:noProof/>
                <w:webHidden/>
              </w:rPr>
            </w:r>
            <w:r w:rsidR="00CF776D">
              <w:rPr>
                <w:noProof/>
                <w:webHidden/>
              </w:rPr>
              <w:fldChar w:fldCharType="separate"/>
            </w:r>
            <w:r w:rsidR="00E91A5A">
              <w:rPr>
                <w:noProof/>
                <w:webHidden/>
              </w:rPr>
              <w:t>7</w:t>
            </w:r>
            <w:r w:rsidR="00CF776D">
              <w:rPr>
                <w:noProof/>
                <w:webHidden/>
              </w:rPr>
              <w:fldChar w:fldCharType="end"/>
            </w:r>
          </w:hyperlink>
        </w:p>
        <w:p w:rsidR="00CF776D" w:rsidRDefault="004C680B">
          <w:pPr>
            <w:pStyle w:val="TOC2"/>
            <w:rPr>
              <w:rFonts w:asciiTheme="minorHAnsi" w:eastAsiaTheme="minorEastAsia" w:hAnsiTheme="minorHAnsi" w:cstheme="minorBidi"/>
              <w:noProof/>
              <w:lang w:eastAsia="en-AU"/>
            </w:rPr>
          </w:pPr>
          <w:hyperlink w:anchor="_Toc55569850" w:history="1">
            <w:r w:rsidR="00CF776D" w:rsidRPr="0076568A">
              <w:rPr>
                <w:rStyle w:val="Hyperlink"/>
                <w:noProof/>
              </w:rPr>
              <w:t>2.3. Analytical methods</w:t>
            </w:r>
            <w:r w:rsidR="00CF776D">
              <w:rPr>
                <w:noProof/>
                <w:webHidden/>
              </w:rPr>
              <w:tab/>
            </w:r>
            <w:r w:rsidR="00CF776D">
              <w:rPr>
                <w:noProof/>
                <w:webHidden/>
              </w:rPr>
              <w:fldChar w:fldCharType="begin"/>
            </w:r>
            <w:r w:rsidR="00CF776D">
              <w:rPr>
                <w:noProof/>
                <w:webHidden/>
              </w:rPr>
              <w:instrText xml:space="preserve"> PAGEREF _Toc55569850 \h </w:instrText>
            </w:r>
            <w:r w:rsidR="00CF776D">
              <w:rPr>
                <w:noProof/>
                <w:webHidden/>
              </w:rPr>
            </w:r>
            <w:r w:rsidR="00CF776D">
              <w:rPr>
                <w:noProof/>
                <w:webHidden/>
              </w:rPr>
              <w:fldChar w:fldCharType="separate"/>
            </w:r>
            <w:r w:rsidR="00E91A5A">
              <w:rPr>
                <w:noProof/>
                <w:webHidden/>
              </w:rPr>
              <w:t>8</w:t>
            </w:r>
            <w:r w:rsidR="00CF776D">
              <w:rPr>
                <w:noProof/>
                <w:webHidden/>
              </w:rPr>
              <w:fldChar w:fldCharType="end"/>
            </w:r>
          </w:hyperlink>
        </w:p>
        <w:p w:rsidR="00CF776D" w:rsidRDefault="004C680B">
          <w:pPr>
            <w:pStyle w:val="TOC2"/>
            <w:rPr>
              <w:rFonts w:asciiTheme="minorHAnsi" w:eastAsiaTheme="minorEastAsia" w:hAnsiTheme="minorHAnsi" w:cstheme="minorBidi"/>
              <w:noProof/>
              <w:lang w:eastAsia="en-AU"/>
            </w:rPr>
          </w:pPr>
          <w:hyperlink w:anchor="_Toc55569851" w:history="1">
            <w:r w:rsidR="00CF776D" w:rsidRPr="0076568A">
              <w:rPr>
                <w:rStyle w:val="Hyperlink"/>
                <w:noProof/>
              </w:rPr>
              <w:t>2.4. Limitations of the study</w:t>
            </w:r>
            <w:r w:rsidR="00CF776D">
              <w:rPr>
                <w:noProof/>
                <w:webHidden/>
              </w:rPr>
              <w:tab/>
            </w:r>
            <w:r w:rsidR="00CF776D">
              <w:rPr>
                <w:noProof/>
                <w:webHidden/>
              </w:rPr>
              <w:fldChar w:fldCharType="begin"/>
            </w:r>
            <w:r w:rsidR="00CF776D">
              <w:rPr>
                <w:noProof/>
                <w:webHidden/>
              </w:rPr>
              <w:instrText xml:space="preserve"> PAGEREF _Toc55569851 \h </w:instrText>
            </w:r>
            <w:r w:rsidR="00CF776D">
              <w:rPr>
                <w:noProof/>
                <w:webHidden/>
              </w:rPr>
            </w:r>
            <w:r w:rsidR="00CF776D">
              <w:rPr>
                <w:noProof/>
                <w:webHidden/>
              </w:rPr>
              <w:fldChar w:fldCharType="separate"/>
            </w:r>
            <w:r w:rsidR="00E91A5A">
              <w:rPr>
                <w:noProof/>
                <w:webHidden/>
              </w:rPr>
              <w:t>8</w:t>
            </w:r>
            <w:r w:rsidR="00CF776D">
              <w:rPr>
                <w:noProof/>
                <w:webHidden/>
              </w:rPr>
              <w:fldChar w:fldCharType="end"/>
            </w:r>
          </w:hyperlink>
        </w:p>
        <w:p w:rsidR="00CF776D" w:rsidRDefault="004C680B">
          <w:pPr>
            <w:pStyle w:val="TOC1"/>
            <w:rPr>
              <w:rFonts w:asciiTheme="minorHAnsi" w:eastAsiaTheme="minorEastAsia" w:hAnsiTheme="minorHAnsi" w:cstheme="minorBidi"/>
              <w:b w:val="0"/>
              <w:noProof/>
              <w:lang w:eastAsia="en-AU"/>
            </w:rPr>
          </w:pPr>
          <w:hyperlink w:anchor="_Toc55569852" w:history="1">
            <w:r w:rsidR="00CF776D" w:rsidRPr="0076568A">
              <w:rPr>
                <w:rStyle w:val="Hyperlink"/>
                <w:noProof/>
              </w:rPr>
              <w:t>3. Results</w:t>
            </w:r>
            <w:r w:rsidR="00CF776D">
              <w:rPr>
                <w:noProof/>
                <w:webHidden/>
              </w:rPr>
              <w:tab/>
            </w:r>
            <w:r w:rsidR="00CF776D">
              <w:rPr>
                <w:noProof/>
                <w:webHidden/>
              </w:rPr>
              <w:fldChar w:fldCharType="begin"/>
            </w:r>
            <w:r w:rsidR="00CF776D">
              <w:rPr>
                <w:noProof/>
                <w:webHidden/>
              </w:rPr>
              <w:instrText xml:space="preserve"> PAGEREF _Toc55569852 \h </w:instrText>
            </w:r>
            <w:r w:rsidR="00CF776D">
              <w:rPr>
                <w:noProof/>
                <w:webHidden/>
              </w:rPr>
            </w:r>
            <w:r w:rsidR="00CF776D">
              <w:rPr>
                <w:noProof/>
                <w:webHidden/>
              </w:rPr>
              <w:fldChar w:fldCharType="separate"/>
            </w:r>
            <w:r w:rsidR="00E91A5A">
              <w:rPr>
                <w:noProof/>
                <w:webHidden/>
              </w:rPr>
              <w:t>9</w:t>
            </w:r>
            <w:r w:rsidR="00CF776D">
              <w:rPr>
                <w:noProof/>
                <w:webHidden/>
              </w:rPr>
              <w:fldChar w:fldCharType="end"/>
            </w:r>
          </w:hyperlink>
        </w:p>
        <w:p w:rsidR="00CF776D" w:rsidRDefault="004C680B">
          <w:pPr>
            <w:pStyle w:val="TOC2"/>
            <w:rPr>
              <w:rFonts w:asciiTheme="minorHAnsi" w:eastAsiaTheme="minorEastAsia" w:hAnsiTheme="minorHAnsi" w:cstheme="minorBidi"/>
              <w:noProof/>
              <w:lang w:eastAsia="en-AU"/>
            </w:rPr>
          </w:pPr>
          <w:hyperlink w:anchor="_Toc55569853" w:history="1">
            <w:r w:rsidR="00CF776D" w:rsidRPr="0076568A">
              <w:rPr>
                <w:rStyle w:val="Hyperlink"/>
                <w:noProof/>
              </w:rPr>
              <w:t>3.1. Descriptive statistics</w:t>
            </w:r>
            <w:r w:rsidR="00CF776D">
              <w:rPr>
                <w:noProof/>
                <w:webHidden/>
              </w:rPr>
              <w:tab/>
            </w:r>
            <w:r w:rsidR="00CF776D">
              <w:rPr>
                <w:noProof/>
                <w:webHidden/>
              </w:rPr>
              <w:fldChar w:fldCharType="begin"/>
            </w:r>
            <w:r w:rsidR="00CF776D">
              <w:rPr>
                <w:noProof/>
                <w:webHidden/>
              </w:rPr>
              <w:instrText xml:space="preserve"> PAGEREF _Toc55569853 \h </w:instrText>
            </w:r>
            <w:r w:rsidR="00CF776D">
              <w:rPr>
                <w:noProof/>
                <w:webHidden/>
              </w:rPr>
            </w:r>
            <w:r w:rsidR="00CF776D">
              <w:rPr>
                <w:noProof/>
                <w:webHidden/>
              </w:rPr>
              <w:fldChar w:fldCharType="separate"/>
            </w:r>
            <w:r w:rsidR="00E91A5A">
              <w:rPr>
                <w:noProof/>
                <w:webHidden/>
              </w:rPr>
              <w:t>9</w:t>
            </w:r>
            <w:r w:rsidR="00CF776D">
              <w:rPr>
                <w:noProof/>
                <w:webHidden/>
              </w:rPr>
              <w:fldChar w:fldCharType="end"/>
            </w:r>
          </w:hyperlink>
        </w:p>
        <w:p w:rsidR="00CF776D" w:rsidRDefault="004C680B">
          <w:pPr>
            <w:pStyle w:val="TOC2"/>
            <w:rPr>
              <w:rFonts w:asciiTheme="minorHAnsi" w:eastAsiaTheme="minorEastAsia" w:hAnsiTheme="minorHAnsi" w:cstheme="minorBidi"/>
              <w:noProof/>
              <w:lang w:eastAsia="en-AU"/>
            </w:rPr>
          </w:pPr>
          <w:hyperlink w:anchor="_Toc55569854" w:history="1">
            <w:r w:rsidR="00CF776D" w:rsidRPr="0076568A">
              <w:rPr>
                <w:rStyle w:val="Hyperlink"/>
                <w:noProof/>
              </w:rPr>
              <w:t>3.2. Survival Analysis</w:t>
            </w:r>
            <w:r w:rsidR="00CF776D">
              <w:rPr>
                <w:noProof/>
                <w:webHidden/>
              </w:rPr>
              <w:tab/>
            </w:r>
            <w:r w:rsidR="00CF776D">
              <w:rPr>
                <w:noProof/>
                <w:webHidden/>
              </w:rPr>
              <w:fldChar w:fldCharType="begin"/>
            </w:r>
            <w:r w:rsidR="00CF776D">
              <w:rPr>
                <w:noProof/>
                <w:webHidden/>
              </w:rPr>
              <w:instrText xml:space="preserve"> PAGEREF _Toc55569854 \h </w:instrText>
            </w:r>
            <w:r w:rsidR="00CF776D">
              <w:rPr>
                <w:noProof/>
                <w:webHidden/>
              </w:rPr>
            </w:r>
            <w:r w:rsidR="00CF776D">
              <w:rPr>
                <w:noProof/>
                <w:webHidden/>
              </w:rPr>
              <w:fldChar w:fldCharType="separate"/>
            </w:r>
            <w:r w:rsidR="00E91A5A">
              <w:rPr>
                <w:noProof/>
                <w:webHidden/>
              </w:rPr>
              <w:t>12</w:t>
            </w:r>
            <w:r w:rsidR="00CF776D">
              <w:rPr>
                <w:noProof/>
                <w:webHidden/>
              </w:rPr>
              <w:fldChar w:fldCharType="end"/>
            </w:r>
          </w:hyperlink>
        </w:p>
        <w:p w:rsidR="00CF776D" w:rsidRDefault="004C680B">
          <w:pPr>
            <w:pStyle w:val="TOC1"/>
            <w:rPr>
              <w:rFonts w:asciiTheme="minorHAnsi" w:eastAsiaTheme="minorEastAsia" w:hAnsiTheme="minorHAnsi" w:cstheme="minorBidi"/>
              <w:b w:val="0"/>
              <w:noProof/>
              <w:lang w:eastAsia="en-AU"/>
            </w:rPr>
          </w:pPr>
          <w:hyperlink w:anchor="_Toc55569855" w:history="1">
            <w:r w:rsidR="00CF776D" w:rsidRPr="0076568A">
              <w:rPr>
                <w:rStyle w:val="Hyperlink"/>
                <w:noProof/>
              </w:rPr>
              <w:t>4. Discussion</w:t>
            </w:r>
            <w:r w:rsidR="00CF776D">
              <w:rPr>
                <w:noProof/>
                <w:webHidden/>
              </w:rPr>
              <w:tab/>
            </w:r>
            <w:r w:rsidR="00CF776D">
              <w:rPr>
                <w:noProof/>
                <w:webHidden/>
              </w:rPr>
              <w:fldChar w:fldCharType="begin"/>
            </w:r>
            <w:r w:rsidR="00CF776D">
              <w:rPr>
                <w:noProof/>
                <w:webHidden/>
              </w:rPr>
              <w:instrText xml:space="preserve"> PAGEREF _Toc55569855 \h </w:instrText>
            </w:r>
            <w:r w:rsidR="00CF776D">
              <w:rPr>
                <w:noProof/>
                <w:webHidden/>
              </w:rPr>
            </w:r>
            <w:r w:rsidR="00CF776D">
              <w:rPr>
                <w:noProof/>
                <w:webHidden/>
              </w:rPr>
              <w:fldChar w:fldCharType="separate"/>
            </w:r>
            <w:r w:rsidR="00E91A5A">
              <w:rPr>
                <w:noProof/>
                <w:webHidden/>
              </w:rPr>
              <w:t>16</w:t>
            </w:r>
            <w:r w:rsidR="00CF776D">
              <w:rPr>
                <w:noProof/>
                <w:webHidden/>
              </w:rPr>
              <w:fldChar w:fldCharType="end"/>
            </w:r>
          </w:hyperlink>
        </w:p>
        <w:p w:rsidR="00CF776D" w:rsidRDefault="004C680B">
          <w:pPr>
            <w:pStyle w:val="TOC1"/>
            <w:rPr>
              <w:rFonts w:asciiTheme="minorHAnsi" w:eastAsiaTheme="minorEastAsia" w:hAnsiTheme="minorHAnsi" w:cstheme="minorBidi"/>
              <w:b w:val="0"/>
              <w:noProof/>
              <w:lang w:eastAsia="en-AU"/>
            </w:rPr>
          </w:pPr>
          <w:hyperlink w:anchor="_Toc55569856" w:history="1">
            <w:r w:rsidR="00CF776D" w:rsidRPr="0076568A">
              <w:rPr>
                <w:rStyle w:val="Hyperlink"/>
                <w:noProof/>
              </w:rPr>
              <w:t>5.</w:t>
            </w:r>
            <w:r w:rsidR="00CF776D" w:rsidRPr="0076568A">
              <w:rPr>
                <w:rStyle w:val="Hyperlink"/>
                <w:noProof/>
                <w:shd w:val="clear" w:color="auto" w:fill="FFFFFF"/>
              </w:rPr>
              <w:t xml:space="preserve"> Conclusion</w:t>
            </w:r>
            <w:r w:rsidR="00CF776D">
              <w:rPr>
                <w:noProof/>
                <w:webHidden/>
              </w:rPr>
              <w:tab/>
            </w:r>
            <w:r w:rsidR="00CF776D">
              <w:rPr>
                <w:noProof/>
                <w:webHidden/>
              </w:rPr>
              <w:fldChar w:fldCharType="begin"/>
            </w:r>
            <w:r w:rsidR="00CF776D">
              <w:rPr>
                <w:noProof/>
                <w:webHidden/>
              </w:rPr>
              <w:instrText xml:space="preserve"> PAGEREF _Toc55569856 \h </w:instrText>
            </w:r>
            <w:r w:rsidR="00CF776D">
              <w:rPr>
                <w:noProof/>
                <w:webHidden/>
              </w:rPr>
            </w:r>
            <w:r w:rsidR="00CF776D">
              <w:rPr>
                <w:noProof/>
                <w:webHidden/>
              </w:rPr>
              <w:fldChar w:fldCharType="separate"/>
            </w:r>
            <w:r w:rsidR="00E91A5A">
              <w:rPr>
                <w:noProof/>
                <w:webHidden/>
              </w:rPr>
              <w:t>16</w:t>
            </w:r>
            <w:r w:rsidR="00CF776D">
              <w:rPr>
                <w:noProof/>
                <w:webHidden/>
              </w:rPr>
              <w:fldChar w:fldCharType="end"/>
            </w:r>
          </w:hyperlink>
        </w:p>
        <w:p w:rsidR="00CF776D" w:rsidRDefault="004C680B">
          <w:pPr>
            <w:pStyle w:val="TOC1"/>
            <w:rPr>
              <w:rFonts w:asciiTheme="minorHAnsi" w:eastAsiaTheme="minorEastAsia" w:hAnsiTheme="minorHAnsi" w:cstheme="minorBidi"/>
              <w:b w:val="0"/>
              <w:noProof/>
              <w:lang w:eastAsia="en-AU"/>
            </w:rPr>
          </w:pPr>
          <w:hyperlink w:anchor="_Toc55569857" w:history="1">
            <w:r w:rsidR="00CF776D" w:rsidRPr="0076568A">
              <w:rPr>
                <w:rStyle w:val="Hyperlink"/>
                <w:noProof/>
              </w:rPr>
              <w:t>6. References</w:t>
            </w:r>
            <w:r w:rsidR="00CF776D">
              <w:rPr>
                <w:noProof/>
                <w:webHidden/>
              </w:rPr>
              <w:tab/>
            </w:r>
            <w:r w:rsidR="00CF776D">
              <w:rPr>
                <w:noProof/>
                <w:webHidden/>
              </w:rPr>
              <w:fldChar w:fldCharType="begin"/>
            </w:r>
            <w:r w:rsidR="00CF776D">
              <w:rPr>
                <w:noProof/>
                <w:webHidden/>
              </w:rPr>
              <w:instrText xml:space="preserve"> PAGEREF _Toc55569857 \h </w:instrText>
            </w:r>
            <w:r w:rsidR="00CF776D">
              <w:rPr>
                <w:noProof/>
                <w:webHidden/>
              </w:rPr>
            </w:r>
            <w:r w:rsidR="00CF776D">
              <w:rPr>
                <w:noProof/>
                <w:webHidden/>
              </w:rPr>
              <w:fldChar w:fldCharType="separate"/>
            </w:r>
            <w:r w:rsidR="00E91A5A">
              <w:rPr>
                <w:noProof/>
                <w:webHidden/>
              </w:rPr>
              <w:t>17</w:t>
            </w:r>
            <w:r w:rsidR="00CF776D">
              <w:rPr>
                <w:noProof/>
                <w:webHidden/>
              </w:rPr>
              <w:fldChar w:fldCharType="end"/>
            </w:r>
          </w:hyperlink>
        </w:p>
        <w:p w:rsidR="004E7885" w:rsidRPr="004E7885" w:rsidRDefault="006747E0" w:rsidP="004E7885">
          <w:pPr>
            <w:rPr>
              <w:rFonts w:eastAsiaTheme="minorEastAsia" w:cs="Arial"/>
              <w:b/>
              <w:lang w:eastAsia="en-AU"/>
            </w:rPr>
          </w:pPr>
          <w:r>
            <w:rPr>
              <w:rFonts w:eastAsiaTheme="minorEastAsia" w:cs="Arial"/>
              <w:lang w:eastAsia="en-AU"/>
            </w:rPr>
            <w:fldChar w:fldCharType="end"/>
          </w:r>
        </w:p>
      </w:sdtContent>
    </w:sdt>
    <w:p w:rsidR="00964B22" w:rsidRDefault="00964B22" w:rsidP="004E7885"/>
    <w:p w:rsidR="003705A4" w:rsidRPr="004E7885" w:rsidRDefault="003705A4" w:rsidP="004E7885">
      <w:pPr>
        <w:sectPr w:rsidR="003705A4" w:rsidRPr="004E7885"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rsidR="00437D95" w:rsidRPr="0032339C" w:rsidRDefault="00437D95" w:rsidP="003705A4">
      <w:pPr>
        <w:pStyle w:val="Heading1"/>
        <w:numPr>
          <w:ilvl w:val="0"/>
          <w:numId w:val="0"/>
        </w:numPr>
        <w:spacing w:line="276" w:lineRule="auto"/>
        <w:rPr>
          <w:shd w:val="clear" w:color="auto" w:fill="FFFFFF"/>
        </w:rPr>
      </w:pPr>
      <w:bookmarkStart w:id="1" w:name="_Toc55569845"/>
      <w:r>
        <w:rPr>
          <w:shd w:val="clear" w:color="auto" w:fill="FFFFFF"/>
        </w:rPr>
        <w:lastRenderedPageBreak/>
        <w:t>Executive Summary</w:t>
      </w:r>
      <w:bookmarkEnd w:id="1"/>
    </w:p>
    <w:p w:rsidR="00B8196A" w:rsidRDefault="00437D95" w:rsidP="00A42879">
      <w:pPr>
        <w:spacing w:line="276" w:lineRule="auto"/>
        <w:rPr>
          <w:rFonts w:asciiTheme="minorHAnsi" w:hAnsiTheme="minorHAnsi" w:cs="Arial"/>
        </w:rPr>
      </w:pPr>
      <w:r w:rsidRPr="00B8196A">
        <w:rPr>
          <w:rFonts w:asciiTheme="minorHAnsi" w:hAnsiTheme="minorHAnsi" w:cs="Arial"/>
          <w:b/>
        </w:rPr>
        <w:t>Aims</w:t>
      </w:r>
      <w:r w:rsidRPr="00B8196A">
        <w:rPr>
          <w:rFonts w:asciiTheme="minorHAnsi" w:hAnsiTheme="minorHAnsi" w:cs="Arial"/>
        </w:rPr>
        <w:t xml:space="preserve"> – Our aim was to investigate the transition from youth to adult custody of young people who completed their last episode of youth detention. The primary objective of the analysis was to determine: </w:t>
      </w:r>
    </w:p>
    <w:p w:rsidR="00B8196A" w:rsidRDefault="00437D95" w:rsidP="00A42879">
      <w:pPr>
        <w:spacing w:line="276" w:lineRule="auto"/>
        <w:ind w:left="284"/>
        <w:rPr>
          <w:rFonts w:asciiTheme="minorHAnsi" w:hAnsiTheme="minorHAnsi" w:cs="Arial"/>
        </w:rPr>
      </w:pPr>
      <w:r w:rsidRPr="00B8196A">
        <w:rPr>
          <w:rFonts w:asciiTheme="minorHAnsi" w:hAnsiTheme="minorHAnsi" w:cs="Arial"/>
        </w:rPr>
        <w:t xml:space="preserve">(1) What is the recidivism rate of the study cohort? That is, what proportion of the cohort was received in the adult prison and how long did members of the cohort take to enter the adult prison system? </w:t>
      </w:r>
    </w:p>
    <w:p w:rsidR="00B8196A" w:rsidRDefault="00437D95" w:rsidP="00A42879">
      <w:pPr>
        <w:spacing w:line="276" w:lineRule="auto"/>
        <w:ind w:firstLine="284"/>
        <w:rPr>
          <w:rFonts w:asciiTheme="minorHAnsi" w:hAnsiTheme="minorHAnsi" w:cs="Arial"/>
        </w:rPr>
      </w:pPr>
      <w:r w:rsidRPr="00B8196A">
        <w:rPr>
          <w:rFonts w:asciiTheme="minorHAnsi" w:hAnsiTheme="minorHAnsi" w:cs="Arial"/>
        </w:rPr>
        <w:t xml:space="preserve">(2) Is there a difference in the recidivism rates between groups in the cohort? </w:t>
      </w:r>
    </w:p>
    <w:p w:rsidR="00437D95" w:rsidRPr="00B8196A" w:rsidRDefault="00437D95" w:rsidP="00A42879">
      <w:pPr>
        <w:spacing w:line="276" w:lineRule="auto"/>
        <w:ind w:firstLine="284"/>
        <w:rPr>
          <w:rFonts w:asciiTheme="minorHAnsi" w:hAnsiTheme="minorHAnsi" w:cs="Arial"/>
        </w:rPr>
      </w:pPr>
      <w:r w:rsidRPr="00B8196A">
        <w:rPr>
          <w:rFonts w:asciiTheme="minorHAnsi" w:hAnsiTheme="minorHAnsi" w:cs="Arial"/>
        </w:rPr>
        <w:t xml:space="preserve">(3) What are the predictors of transition from youth detention to adult custody? </w:t>
      </w:r>
    </w:p>
    <w:p w:rsidR="00437D95" w:rsidRPr="00B8196A" w:rsidRDefault="00437D95" w:rsidP="00A42879">
      <w:pPr>
        <w:spacing w:line="276" w:lineRule="auto"/>
        <w:rPr>
          <w:rFonts w:asciiTheme="minorHAnsi" w:hAnsiTheme="minorHAnsi" w:cs="Arial"/>
        </w:rPr>
      </w:pPr>
      <w:r w:rsidRPr="00B8196A">
        <w:rPr>
          <w:rFonts w:asciiTheme="minorHAnsi" w:hAnsiTheme="minorHAnsi" w:cs="Arial"/>
          <w:b/>
        </w:rPr>
        <w:t>Methods</w:t>
      </w:r>
      <w:r w:rsidRPr="00B8196A">
        <w:rPr>
          <w:rFonts w:asciiTheme="minorHAnsi" w:hAnsiTheme="minorHAnsi" w:cs="Arial"/>
        </w:rPr>
        <w:t xml:space="preserve"> – The population was made up of 353 young people aged 15 – 18 who completed their last episode of detention in the Northern Territory from 2015 – 2019. Participants were followed up from their date of last discharge up to September 2020. All participants had attained adulthood during the study period. We used survival analysis because the outcome of interest is the time from last discharge from youth detention until first adult prison reception and we have some censored data. A Cox proportional hazard model was used to estimate the relationship of potential risk factors to first adult prison reception. </w:t>
      </w:r>
    </w:p>
    <w:p w:rsidR="00E9059A" w:rsidRPr="00E50234" w:rsidRDefault="00437D95" w:rsidP="00A42879">
      <w:pPr>
        <w:spacing w:line="276" w:lineRule="auto"/>
        <w:rPr>
          <w:rFonts w:asciiTheme="minorHAnsi" w:hAnsiTheme="minorHAnsi" w:cs="Arial"/>
        </w:rPr>
      </w:pPr>
      <w:r w:rsidRPr="00B8196A">
        <w:rPr>
          <w:rFonts w:asciiTheme="minorHAnsi" w:hAnsiTheme="minorHAnsi" w:cs="Arial"/>
          <w:b/>
        </w:rPr>
        <w:t>Results</w:t>
      </w:r>
      <w:r w:rsidRPr="00B8196A">
        <w:rPr>
          <w:rFonts w:asciiTheme="minorHAnsi" w:hAnsiTheme="minorHAnsi" w:cs="Arial"/>
        </w:rPr>
        <w:t xml:space="preserve"> – The estimated five-year recidivism rate is 61 per cent. That is, 61 per cent</w:t>
      </w:r>
      <w:r w:rsidRPr="00B8196A">
        <w:rPr>
          <w:rFonts w:asciiTheme="minorHAnsi" w:hAnsiTheme="minorHAnsi" w:cs="Arial"/>
          <w:bCs/>
        </w:rPr>
        <w:t xml:space="preserve"> of those discharged from their last episode of youth detention were estimated to enter the adult prison system within five years. </w:t>
      </w:r>
      <w:r w:rsidR="00E459B8" w:rsidRPr="00B8196A">
        <w:rPr>
          <w:rFonts w:asciiTheme="minorHAnsi" w:hAnsiTheme="minorHAnsi" w:cs="Arial"/>
        </w:rPr>
        <w:t xml:space="preserve">The median time between discharge from youth detention and reception into adult custody is three years and four months. </w:t>
      </w:r>
      <w:r w:rsidRPr="00B8196A">
        <w:rPr>
          <w:rFonts w:asciiTheme="minorHAnsi" w:hAnsiTheme="minorHAnsi" w:cs="Arial"/>
        </w:rPr>
        <w:t>There were significant differences between recidivism estimates when the cohort was grouped according to gender</w:t>
      </w:r>
      <w:r w:rsidRPr="00B8196A">
        <w:rPr>
          <w:rFonts w:asciiTheme="minorHAnsi" w:hAnsiTheme="minorHAnsi" w:cs="Arial"/>
          <w:shd w:val="clear" w:color="auto" w:fill="FFFFFF"/>
        </w:rPr>
        <w:t>, Aboriginal status</w:t>
      </w:r>
      <w:r w:rsidR="00645564" w:rsidRPr="00B8196A">
        <w:rPr>
          <w:rFonts w:asciiTheme="minorHAnsi" w:hAnsiTheme="minorHAnsi" w:cs="Arial"/>
        </w:rPr>
        <w:t xml:space="preserve">, age at first youth detention, </w:t>
      </w:r>
      <w:r w:rsidRPr="00B8196A">
        <w:rPr>
          <w:rFonts w:asciiTheme="minorHAnsi" w:hAnsiTheme="minorHAnsi" w:cs="Arial"/>
          <w:shd w:val="clear" w:color="auto" w:fill="FFFFFF"/>
        </w:rPr>
        <w:t xml:space="preserve">and </w:t>
      </w:r>
      <w:r w:rsidRPr="00B8196A">
        <w:rPr>
          <w:rFonts w:asciiTheme="minorHAnsi" w:hAnsiTheme="minorHAnsi" w:cs="Arial"/>
        </w:rPr>
        <w:t>numbe</w:t>
      </w:r>
      <w:r w:rsidR="00645564" w:rsidRPr="00B8196A">
        <w:rPr>
          <w:rFonts w:asciiTheme="minorHAnsi" w:hAnsiTheme="minorHAnsi" w:cs="Arial"/>
        </w:rPr>
        <w:t xml:space="preserve">r of correctional episodes involving </w:t>
      </w:r>
      <w:r w:rsidR="00FA2FE1">
        <w:rPr>
          <w:rFonts w:asciiTheme="minorHAnsi" w:hAnsiTheme="minorHAnsi" w:cs="Arial"/>
        </w:rPr>
        <w:t xml:space="preserve">youth </w:t>
      </w:r>
      <w:r w:rsidR="00645564" w:rsidRPr="00B8196A">
        <w:rPr>
          <w:rFonts w:asciiTheme="minorHAnsi" w:hAnsiTheme="minorHAnsi" w:cs="Arial"/>
        </w:rPr>
        <w:t>detention</w:t>
      </w:r>
      <w:r w:rsidRPr="00B8196A">
        <w:rPr>
          <w:rFonts w:asciiTheme="minorHAnsi" w:hAnsiTheme="minorHAnsi" w:cs="Arial"/>
        </w:rPr>
        <w:t xml:space="preserve">. </w:t>
      </w:r>
      <w:r w:rsidRPr="00B8196A">
        <w:rPr>
          <w:rFonts w:asciiTheme="minorHAnsi" w:hAnsiTheme="minorHAnsi" w:cs="Arial"/>
          <w:bCs/>
        </w:rPr>
        <w:t>Our analysis showed that the strongest</w:t>
      </w:r>
      <w:r w:rsidRPr="00B8196A">
        <w:rPr>
          <w:rFonts w:asciiTheme="minorHAnsi" w:hAnsiTheme="minorHAnsi" w:cs="Arial"/>
        </w:rPr>
        <w:t xml:space="preserve"> predictors of recidivism are male gender </w:t>
      </w:r>
      <w:r w:rsidR="00E64767">
        <w:rPr>
          <w:rFonts w:asciiTheme="minorHAnsi" w:hAnsiTheme="minorHAnsi" w:cs="Arial"/>
        </w:rPr>
        <w:t xml:space="preserve">and </w:t>
      </w:r>
      <w:r w:rsidR="00E50234">
        <w:rPr>
          <w:rFonts w:asciiTheme="minorHAnsi" w:hAnsiTheme="minorHAnsi" w:cs="Arial"/>
        </w:rPr>
        <w:t xml:space="preserve">higher </w:t>
      </w:r>
      <w:r w:rsidR="00E64767" w:rsidRPr="00B8196A">
        <w:rPr>
          <w:rFonts w:asciiTheme="minorHAnsi" w:hAnsiTheme="minorHAnsi" w:cs="Arial"/>
        </w:rPr>
        <w:t xml:space="preserve">number of correctional episodes involving </w:t>
      </w:r>
      <w:r w:rsidR="00FA2FE1">
        <w:rPr>
          <w:rFonts w:asciiTheme="minorHAnsi" w:hAnsiTheme="minorHAnsi" w:cs="Arial"/>
        </w:rPr>
        <w:t xml:space="preserve">youth </w:t>
      </w:r>
      <w:r w:rsidR="00E64767" w:rsidRPr="00B8196A">
        <w:rPr>
          <w:rFonts w:asciiTheme="minorHAnsi" w:hAnsiTheme="minorHAnsi" w:cs="Arial"/>
        </w:rPr>
        <w:t xml:space="preserve">detention. </w:t>
      </w:r>
      <w:r w:rsidR="00E50234" w:rsidRPr="00B8196A">
        <w:rPr>
          <w:rFonts w:asciiTheme="minorHAnsi" w:hAnsiTheme="minorHAnsi"/>
        </w:rPr>
        <w:t>Males</w:t>
      </w:r>
      <w:r w:rsidR="001C2C33" w:rsidRPr="00B8196A">
        <w:rPr>
          <w:rFonts w:asciiTheme="minorHAnsi" w:hAnsiTheme="minorHAnsi"/>
        </w:rPr>
        <w:t xml:space="preserve"> were 4.2 times as likely to enter the adult prison system as females</w:t>
      </w:r>
      <w:r w:rsidR="00E50234">
        <w:rPr>
          <w:rFonts w:asciiTheme="minorHAnsi" w:hAnsiTheme="minorHAnsi" w:cs="Arial"/>
        </w:rPr>
        <w:t xml:space="preserve">. </w:t>
      </w:r>
      <w:r w:rsidR="00E50234">
        <w:rPr>
          <w:rFonts w:asciiTheme="minorHAnsi" w:hAnsiTheme="minorHAnsi"/>
        </w:rPr>
        <w:t>Offenders</w:t>
      </w:r>
      <w:r w:rsidR="00E9059A">
        <w:rPr>
          <w:rFonts w:asciiTheme="minorHAnsi" w:hAnsiTheme="minorHAnsi"/>
        </w:rPr>
        <w:t xml:space="preserve"> with higher </w:t>
      </w:r>
      <w:r w:rsidR="00E9059A" w:rsidRPr="00B8196A">
        <w:rPr>
          <w:rFonts w:asciiTheme="minorHAnsi" w:hAnsiTheme="minorHAnsi" w:cs="Arial"/>
        </w:rPr>
        <w:t xml:space="preserve">number of correctional episodes involving </w:t>
      </w:r>
      <w:r w:rsidR="00BF4FDE">
        <w:rPr>
          <w:rFonts w:asciiTheme="minorHAnsi" w:hAnsiTheme="minorHAnsi" w:cs="Arial"/>
        </w:rPr>
        <w:t xml:space="preserve">youth </w:t>
      </w:r>
      <w:r w:rsidR="00E9059A" w:rsidRPr="00B8196A">
        <w:rPr>
          <w:rFonts w:asciiTheme="minorHAnsi" w:hAnsiTheme="minorHAnsi" w:cs="Arial"/>
        </w:rPr>
        <w:t>detention</w:t>
      </w:r>
      <w:r w:rsidR="00E9059A">
        <w:rPr>
          <w:rFonts w:asciiTheme="minorHAnsi" w:hAnsiTheme="minorHAnsi" w:cs="Arial"/>
        </w:rPr>
        <w:t xml:space="preserve"> </w:t>
      </w:r>
      <w:r w:rsidR="00E9059A" w:rsidRPr="00B8196A">
        <w:rPr>
          <w:rFonts w:asciiTheme="minorHAnsi" w:hAnsiTheme="minorHAnsi"/>
        </w:rPr>
        <w:t xml:space="preserve">were </w:t>
      </w:r>
      <w:r w:rsidR="00E9059A">
        <w:rPr>
          <w:rFonts w:asciiTheme="minorHAnsi" w:hAnsiTheme="minorHAnsi"/>
        </w:rPr>
        <w:t>1</w:t>
      </w:r>
      <w:r w:rsidR="00E9059A" w:rsidRPr="00B8196A">
        <w:rPr>
          <w:rFonts w:asciiTheme="minorHAnsi" w:hAnsiTheme="minorHAnsi"/>
        </w:rPr>
        <w:t>.2 times as likely to enter the adult prison system as</w:t>
      </w:r>
      <w:r w:rsidR="00E9059A">
        <w:rPr>
          <w:rFonts w:asciiTheme="minorHAnsi" w:hAnsiTheme="minorHAnsi"/>
        </w:rPr>
        <w:t xml:space="preserve"> </w:t>
      </w:r>
      <w:r w:rsidR="00E50234">
        <w:rPr>
          <w:rFonts w:asciiTheme="minorHAnsi" w:hAnsiTheme="minorHAnsi"/>
        </w:rPr>
        <w:t xml:space="preserve">those with lower number. </w:t>
      </w:r>
    </w:p>
    <w:p w:rsidR="00437D95" w:rsidRPr="00B8196A" w:rsidRDefault="00437D95" w:rsidP="00A42879">
      <w:pPr>
        <w:spacing w:line="276" w:lineRule="auto"/>
        <w:rPr>
          <w:rFonts w:asciiTheme="minorHAnsi" w:hAnsiTheme="minorHAnsi" w:cs="Arial"/>
          <w:shd w:val="clear" w:color="auto" w:fill="FFFFFF"/>
        </w:rPr>
      </w:pPr>
      <w:r w:rsidRPr="00B8196A">
        <w:rPr>
          <w:rFonts w:asciiTheme="minorHAnsi" w:hAnsiTheme="minorHAnsi" w:cs="Arial"/>
          <w:b/>
          <w:shd w:val="clear" w:color="auto" w:fill="FFFFFF"/>
        </w:rPr>
        <w:t xml:space="preserve">Conclusions – </w:t>
      </w:r>
      <w:r w:rsidRPr="00B8196A">
        <w:rPr>
          <w:rFonts w:asciiTheme="minorHAnsi" w:hAnsiTheme="minorHAnsi" w:cs="Arial"/>
          <w:shd w:val="clear" w:color="auto" w:fill="FFFFFF"/>
        </w:rPr>
        <w:t xml:space="preserve">Our result is consistent with previous studies which showed that male gender and higher number </w:t>
      </w:r>
      <w:r w:rsidR="00BF4FDE" w:rsidRPr="00B8196A">
        <w:rPr>
          <w:rFonts w:asciiTheme="minorHAnsi" w:hAnsiTheme="minorHAnsi" w:cs="Arial"/>
        </w:rPr>
        <w:t xml:space="preserve">of correctional episodes involving </w:t>
      </w:r>
      <w:r w:rsidR="00BF4FDE">
        <w:rPr>
          <w:rFonts w:asciiTheme="minorHAnsi" w:hAnsiTheme="minorHAnsi" w:cs="Arial"/>
        </w:rPr>
        <w:t xml:space="preserve">youth </w:t>
      </w:r>
      <w:r w:rsidR="00BF4FDE" w:rsidRPr="00B8196A">
        <w:rPr>
          <w:rFonts w:asciiTheme="minorHAnsi" w:hAnsiTheme="minorHAnsi" w:cs="Arial"/>
        </w:rPr>
        <w:t>detention</w:t>
      </w:r>
      <w:r w:rsidR="00BF4FDE">
        <w:rPr>
          <w:rFonts w:asciiTheme="minorHAnsi" w:hAnsiTheme="minorHAnsi" w:cs="Arial"/>
        </w:rPr>
        <w:t xml:space="preserve"> </w:t>
      </w:r>
      <w:r w:rsidRPr="00B8196A">
        <w:rPr>
          <w:rFonts w:asciiTheme="minorHAnsi" w:hAnsiTheme="minorHAnsi" w:cs="Arial"/>
          <w:shd w:val="clear" w:color="auto" w:fill="FFFFFF"/>
        </w:rPr>
        <w:t xml:space="preserve">are the strongest predictor of transition to adult criminal career. This study can be improved by investigating risk factors that were not readily available for this study, such as the presence of a </w:t>
      </w:r>
      <w:r w:rsidRPr="00B8196A">
        <w:rPr>
          <w:rFonts w:asciiTheme="minorHAnsi" w:hAnsiTheme="minorHAnsi" w:cs="Arial"/>
        </w:rPr>
        <w:t xml:space="preserve">childhood protection order, out of home placement, alcohol and drug abuse, family dysfunction, and other childhood variables. </w:t>
      </w:r>
    </w:p>
    <w:p w:rsidR="00437D95" w:rsidRPr="0032339C" w:rsidRDefault="00437D95" w:rsidP="00A42879">
      <w:pPr>
        <w:spacing w:line="276" w:lineRule="auto"/>
        <w:rPr>
          <w:rFonts w:ascii="Arial" w:hAnsi="Arial" w:cs="Arial"/>
          <w:b/>
        </w:rPr>
      </w:pPr>
    </w:p>
    <w:p w:rsidR="00437D95" w:rsidRPr="0032339C" w:rsidRDefault="00437D95" w:rsidP="00437D95">
      <w:pPr>
        <w:rPr>
          <w:rFonts w:ascii="Arial" w:hAnsi="Arial" w:cs="Arial"/>
          <w:b/>
        </w:rPr>
      </w:pPr>
    </w:p>
    <w:p w:rsidR="00437D95" w:rsidRPr="0032339C" w:rsidRDefault="00437D95" w:rsidP="00437D95">
      <w:pPr>
        <w:rPr>
          <w:rFonts w:ascii="Arial" w:hAnsi="Arial" w:cs="Arial"/>
          <w:b/>
        </w:rPr>
      </w:pPr>
    </w:p>
    <w:p w:rsidR="00BF4FDE" w:rsidRDefault="00BF4FDE">
      <w:pPr>
        <w:rPr>
          <w:rFonts w:ascii="Arial" w:hAnsi="Arial" w:cs="Arial"/>
          <w:b/>
        </w:rPr>
      </w:pPr>
      <w:r>
        <w:rPr>
          <w:rFonts w:ascii="Arial" w:hAnsi="Arial" w:cs="Arial"/>
          <w:b/>
        </w:rPr>
        <w:br w:type="page"/>
      </w:r>
    </w:p>
    <w:p w:rsidR="00437D95" w:rsidRPr="0032339C" w:rsidRDefault="00437D95" w:rsidP="00DD054B">
      <w:pPr>
        <w:pStyle w:val="Heading1"/>
      </w:pPr>
      <w:bookmarkStart w:id="2" w:name="_Toc55569846"/>
      <w:r w:rsidRPr="0032339C">
        <w:lastRenderedPageBreak/>
        <w:t>Introduction</w:t>
      </w:r>
      <w:bookmarkEnd w:id="2"/>
    </w:p>
    <w:p w:rsidR="00437D95" w:rsidRPr="00BF4FDE" w:rsidRDefault="00437D95" w:rsidP="00A42879">
      <w:pPr>
        <w:spacing w:line="276" w:lineRule="auto"/>
        <w:rPr>
          <w:rFonts w:asciiTheme="minorHAnsi" w:hAnsiTheme="minorHAnsi" w:cs="Arial"/>
          <w:b/>
        </w:rPr>
      </w:pPr>
      <w:r w:rsidRPr="00BF4FDE">
        <w:rPr>
          <w:rFonts w:asciiTheme="minorHAnsi" w:hAnsiTheme="minorHAnsi" w:cs="Arial"/>
        </w:rPr>
        <w:t xml:space="preserve">Data from Australian Institute of Health and Welfare (AIHW, 2020) publication ‘Young people returning to sentenced youth justice supervision 2018 – 19’ showed that 59 per cent of Australians aged 10 – 17 who were under sentenced youth justice supervision (community based supervision or detention) at any time from 2000 - 01 to 2018 - 19 served only one sentence and did not return to sentenced supervision. Some young people however, returned to sentenced supervision numerous times. Twenty-seven per cent of those whose first supervised sentence was detention and 17 per cent of those whose first supervised sentence was community-based returned and received five or more supervised sentences. Unfortunately, data for Northern Territory (NT) is not included in this cohort as NT data is only available from 2012-13 (AIHW, 2020). Although we know that the majority of young people did not return to sentenced youth supervision, we have no official statistics on how many of them eventually entered the adult justice system. </w:t>
      </w:r>
    </w:p>
    <w:p w:rsidR="00437D95" w:rsidRPr="00BF4FDE" w:rsidRDefault="00437D95" w:rsidP="00A42879">
      <w:pPr>
        <w:spacing w:line="276" w:lineRule="auto"/>
        <w:rPr>
          <w:rFonts w:asciiTheme="minorHAnsi" w:hAnsiTheme="minorHAnsi" w:cs="Arial"/>
        </w:rPr>
      </w:pPr>
      <w:r w:rsidRPr="00BF4FDE">
        <w:rPr>
          <w:rFonts w:asciiTheme="minorHAnsi" w:hAnsiTheme="minorHAnsi" w:cs="Arial"/>
        </w:rPr>
        <w:t xml:space="preserve">While most young offenders eventually desist from delinquent behaviour (Farrington, 1986; Piquero et al., 2007), many continue their criminal behaviour into adulthood. Lynch et al. (2003) followed the criminal careers of 1,503 young offenders ages 10 – 17 years old who had been ordered to serve a supervised youth sentence in Queensland from 1994 – 95 over a seven-year period. The study found that 79 per cent of those youths had progressed to the adult corrections system and 49 per cent had at least one term of imprisonment. Chen et al. (2005) investigated the reoffending behaviour of a cohort of 5,476 youth aged 10 to 18 who appeared in New South Wales (NSW) Children’s Court for the first time in 1995 and followed their criminal history for at least eight years. Nearly 70 per cent of the cohort reappeared in court (children and adult court) within eight years. These results are fairly consistent with the result from the Blumstein et al. (1986) study in the United States which showed that between 30 and 60 per cent of juvenile delinquents, apprehended by police or brought before the children’s court, later came into contact with the adult criminal justice system. </w:t>
      </w:r>
    </w:p>
    <w:p w:rsidR="00437D95" w:rsidRPr="00BF4FDE" w:rsidRDefault="00437D95" w:rsidP="00A42879">
      <w:pPr>
        <w:spacing w:line="276" w:lineRule="auto"/>
        <w:rPr>
          <w:rFonts w:asciiTheme="minorHAnsi" w:hAnsiTheme="minorHAnsi" w:cs="Arial"/>
          <w:shd w:val="clear" w:color="auto" w:fill="FFFFFF"/>
        </w:rPr>
      </w:pPr>
      <w:r w:rsidRPr="00BF4FDE">
        <w:rPr>
          <w:rFonts w:asciiTheme="minorHAnsi" w:hAnsiTheme="minorHAnsi" w:cs="Arial"/>
        </w:rPr>
        <w:t xml:space="preserve">Moffitt (1993) proposed that there are at least two distinct anti-social behaviour pathways: adolescence-limited, where youths start to engage in criminal behaviour in adolescence but also desist before adulthood, and life-course-persistent, where criminal behaviour start in childhood and persist into adulthood. This theory was later supported using evidence from a longitudinal male birth cohort study (Moffitt et al., 1996). The few studies that looked into predictors of entry into adult prison given prior youth detention generally support the life-course persistent model. Benda (2001) showed that the strongest predictor is prior incarcerations, </w:t>
      </w:r>
      <w:r w:rsidRPr="00BF4FDE">
        <w:rPr>
          <w:rFonts w:asciiTheme="minorHAnsi" w:hAnsiTheme="minorHAnsi" w:cs="Arial"/>
          <w:shd w:val="clear" w:color="auto" w:fill="FFFFFF"/>
        </w:rPr>
        <w:t>followed by age the persons started committing crime.</w:t>
      </w:r>
      <w:r w:rsidRPr="00BF4FDE">
        <w:rPr>
          <w:rFonts w:asciiTheme="minorHAnsi" w:hAnsiTheme="minorHAnsi" w:cs="Arial"/>
        </w:rPr>
        <w:t xml:space="preserve"> </w:t>
      </w:r>
      <w:r w:rsidRPr="00BF4FDE">
        <w:rPr>
          <w:rFonts w:asciiTheme="minorHAnsi" w:hAnsiTheme="minorHAnsi" w:cs="Arial"/>
          <w:shd w:val="clear" w:color="auto" w:fill="FFFFFF"/>
        </w:rPr>
        <w:t xml:space="preserve">Piquero &amp; Buka (2002) observed that juvenile chronic offending was the strongest and most consistent predictor of an adult crime status. Lynch et al. (2003) showed that the predictors of sustaining a criminal career into adulthood are gender, Aboriginal status, and the presence of a care and protection order. </w:t>
      </w:r>
      <w:r w:rsidRPr="00BF4FDE">
        <w:rPr>
          <w:rFonts w:asciiTheme="minorHAnsi" w:hAnsiTheme="minorHAnsi" w:cs="Arial"/>
        </w:rPr>
        <w:t xml:space="preserve">Rhoades et al. (2016) found evidence of gender differences in childhood risk factors of adult offending. They found evidence that family adversity, and specifically family violence among girls but not boys significantly predicted time to first adult arrest. For boys however, juvenile offending was the sole predictor of adult arrests.  </w:t>
      </w:r>
    </w:p>
    <w:p w:rsidR="00437D95" w:rsidRPr="00BF4FDE" w:rsidRDefault="00437D95" w:rsidP="00AD0C4C">
      <w:pPr>
        <w:spacing w:line="276" w:lineRule="auto"/>
        <w:rPr>
          <w:rFonts w:asciiTheme="minorHAnsi" w:hAnsiTheme="minorHAnsi" w:cs="Arial"/>
        </w:rPr>
      </w:pPr>
      <w:r w:rsidRPr="00BF4FDE">
        <w:rPr>
          <w:rFonts w:asciiTheme="minorHAnsi" w:hAnsiTheme="minorHAnsi" w:cs="Arial"/>
        </w:rPr>
        <w:t xml:space="preserve">At present there is a paucity of information on the criminal and corrections history of young offenders after their exit from youth justice system in Australia, especially in the NT. Hence, </w:t>
      </w:r>
      <w:r w:rsidRPr="00BF4FDE">
        <w:rPr>
          <w:rFonts w:asciiTheme="minorHAnsi" w:hAnsiTheme="minorHAnsi" w:cs="Arial"/>
        </w:rPr>
        <w:lastRenderedPageBreak/>
        <w:t xml:space="preserve">in this study we tracked the recidivism rates of young offenders who completed their last episode of youth detention in the NT from 2015 – 2019. In this study recidivism is defined as </w:t>
      </w:r>
      <w:r w:rsidR="004F39DD">
        <w:rPr>
          <w:rFonts w:asciiTheme="minorHAnsi" w:hAnsiTheme="minorHAnsi" w:cs="Arial"/>
        </w:rPr>
        <w:t xml:space="preserve">first </w:t>
      </w:r>
      <w:r w:rsidRPr="00BF4FDE">
        <w:rPr>
          <w:rFonts w:asciiTheme="minorHAnsi" w:hAnsiTheme="minorHAnsi" w:cs="Arial"/>
        </w:rPr>
        <w:t xml:space="preserve">reception to adult prison after </w:t>
      </w:r>
      <w:r w:rsidR="004F39DD">
        <w:rPr>
          <w:rFonts w:asciiTheme="minorHAnsi" w:hAnsiTheme="minorHAnsi" w:cs="Arial"/>
        </w:rPr>
        <w:t xml:space="preserve">last </w:t>
      </w:r>
      <w:r w:rsidRPr="00BF4FDE">
        <w:rPr>
          <w:rFonts w:asciiTheme="minorHAnsi" w:hAnsiTheme="minorHAnsi" w:cs="Arial"/>
        </w:rPr>
        <w:t xml:space="preserve">discharge from youth detention. The primary objective of the study was to determine: </w:t>
      </w:r>
    </w:p>
    <w:p w:rsidR="00437D95" w:rsidRPr="00AD0C4C" w:rsidRDefault="00437D95" w:rsidP="00AD0C4C">
      <w:pPr>
        <w:pStyle w:val="ListParagraph"/>
        <w:numPr>
          <w:ilvl w:val="0"/>
          <w:numId w:val="44"/>
        </w:numPr>
        <w:spacing w:line="276" w:lineRule="auto"/>
        <w:rPr>
          <w:rFonts w:asciiTheme="minorHAnsi" w:hAnsiTheme="minorHAnsi" w:cs="Arial"/>
        </w:rPr>
      </w:pPr>
      <w:r w:rsidRPr="00AD0C4C">
        <w:rPr>
          <w:rFonts w:asciiTheme="minorHAnsi" w:hAnsiTheme="minorHAnsi" w:cs="Arial"/>
        </w:rPr>
        <w:t>What is the recidivism rate of the study cohort? That is, what proportion of the cohort were received in the adult prison and how long did members of the cohort take to enter adult prison system?</w:t>
      </w:r>
    </w:p>
    <w:p w:rsidR="00AD0C4C" w:rsidRDefault="00437D95" w:rsidP="00AD0C4C">
      <w:pPr>
        <w:pStyle w:val="ListParagraph"/>
        <w:numPr>
          <w:ilvl w:val="0"/>
          <w:numId w:val="44"/>
        </w:numPr>
        <w:spacing w:line="276" w:lineRule="auto"/>
        <w:rPr>
          <w:rFonts w:asciiTheme="minorHAnsi" w:hAnsiTheme="minorHAnsi" w:cs="Arial"/>
        </w:rPr>
      </w:pPr>
      <w:r w:rsidRPr="00AD0C4C">
        <w:rPr>
          <w:rFonts w:asciiTheme="minorHAnsi" w:hAnsiTheme="minorHAnsi" w:cs="Arial"/>
        </w:rPr>
        <w:t xml:space="preserve">Is there a difference in the recidivism rates between groups in the cohort? </w:t>
      </w:r>
    </w:p>
    <w:p w:rsidR="00437D95" w:rsidRPr="00AD0C4C" w:rsidRDefault="00437D95" w:rsidP="00AD0C4C">
      <w:pPr>
        <w:pStyle w:val="ListParagraph"/>
        <w:numPr>
          <w:ilvl w:val="0"/>
          <w:numId w:val="44"/>
        </w:numPr>
        <w:spacing w:line="276" w:lineRule="auto"/>
        <w:rPr>
          <w:rFonts w:asciiTheme="minorHAnsi" w:hAnsiTheme="minorHAnsi" w:cs="Arial"/>
        </w:rPr>
      </w:pPr>
      <w:r w:rsidRPr="00AD0C4C">
        <w:rPr>
          <w:rFonts w:asciiTheme="minorHAnsi" w:hAnsiTheme="minorHAnsi" w:cs="Arial"/>
        </w:rPr>
        <w:t>Which of the risk factors (gender, Aboriginal status, number of youth detentions, most serious offence committed as youth, and age at first youth detention) are the strongest predictor</w:t>
      </w:r>
      <w:r w:rsidR="00AD0C4C">
        <w:rPr>
          <w:rFonts w:asciiTheme="minorHAnsi" w:hAnsiTheme="minorHAnsi" w:cs="Arial"/>
        </w:rPr>
        <w:t>s</w:t>
      </w:r>
      <w:r w:rsidRPr="00AD0C4C">
        <w:rPr>
          <w:rFonts w:asciiTheme="minorHAnsi" w:hAnsiTheme="minorHAnsi" w:cs="Arial"/>
        </w:rPr>
        <w:t xml:space="preserve"> of adult prison reception given prior youth detention? </w:t>
      </w:r>
    </w:p>
    <w:p w:rsidR="00437D95" w:rsidRDefault="00437D95" w:rsidP="00AD0C4C">
      <w:pPr>
        <w:spacing w:line="276" w:lineRule="auto"/>
        <w:rPr>
          <w:rFonts w:asciiTheme="minorHAnsi" w:hAnsiTheme="minorHAnsi" w:cs="Arial"/>
        </w:rPr>
      </w:pPr>
      <w:r w:rsidRPr="00BF4FDE">
        <w:rPr>
          <w:rFonts w:asciiTheme="minorHAnsi" w:hAnsiTheme="minorHAnsi" w:cs="Arial"/>
        </w:rPr>
        <w:t xml:space="preserve">This information will help inform the development of evidence-based policies and interventions aimed at reducing the continuation of youth offending into adulthood. </w:t>
      </w: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1D59DA" w:rsidRDefault="001D59DA" w:rsidP="00BF4FDE">
      <w:pPr>
        <w:rPr>
          <w:rFonts w:asciiTheme="minorHAnsi" w:hAnsiTheme="minorHAnsi" w:cs="Arial"/>
        </w:rPr>
      </w:pPr>
    </w:p>
    <w:p w:rsidR="00437D95" w:rsidRPr="0032339C" w:rsidRDefault="00437D95" w:rsidP="00DD054B">
      <w:pPr>
        <w:pStyle w:val="Heading1"/>
      </w:pPr>
      <w:bookmarkStart w:id="3" w:name="_Toc55569847"/>
      <w:r w:rsidRPr="0032339C">
        <w:lastRenderedPageBreak/>
        <w:t>Method</w:t>
      </w:r>
      <w:r>
        <w:t>s</w:t>
      </w:r>
      <w:bookmarkEnd w:id="3"/>
      <w:r w:rsidRPr="0032339C">
        <w:t xml:space="preserve"> </w:t>
      </w:r>
    </w:p>
    <w:p w:rsidR="00437D95" w:rsidRPr="0032339C" w:rsidRDefault="00437D95" w:rsidP="00DD054B">
      <w:pPr>
        <w:pStyle w:val="Heading2"/>
      </w:pPr>
      <w:bookmarkStart w:id="4" w:name="_Toc55569848"/>
      <w:r w:rsidRPr="0032339C">
        <w:t>Study population</w:t>
      </w:r>
      <w:bookmarkEnd w:id="4"/>
    </w:p>
    <w:p w:rsidR="00437D95" w:rsidRPr="001D59DA" w:rsidRDefault="00437D95" w:rsidP="00A42879">
      <w:pPr>
        <w:spacing w:line="276" w:lineRule="auto"/>
        <w:jc w:val="both"/>
        <w:rPr>
          <w:rFonts w:asciiTheme="minorHAnsi" w:hAnsiTheme="minorHAnsi" w:cs="Arial"/>
          <w:b/>
        </w:rPr>
      </w:pPr>
      <w:r w:rsidRPr="001D59DA">
        <w:rPr>
          <w:rFonts w:asciiTheme="minorHAnsi" w:hAnsiTheme="minorHAnsi" w:cs="Arial"/>
        </w:rPr>
        <w:t xml:space="preserve">The study population is a cohort of young people who completed their last episode of detention in NT youth detention centres from 01 January 2015 to 31 December 2019 who were aged 15 – 18 at the time of last discharge from youth detention and had a discharge reason of either ‘expiry of sentence’ or ‘transfer to community supervision’. Excluded from the cohort were young people transferred to adult prison when they turned 18, and those who were less than 18 years old on 01 January 2020. The last exclusion criteria was included to ensure that everyone in the cohort had attained adulthood during our study.  The cohort selection is detailed in Figure 1. </w:t>
      </w:r>
    </w:p>
    <w:p w:rsidR="00437D95" w:rsidRPr="003A3AAA" w:rsidRDefault="00437D95" w:rsidP="004F39DD">
      <w:pPr>
        <w:jc w:val="both"/>
        <w:rPr>
          <w:rFonts w:asciiTheme="minorHAnsi" w:hAnsiTheme="minorHAnsi" w:cs="Arial"/>
        </w:rPr>
      </w:pPr>
      <w:r w:rsidRPr="003A3AAA">
        <w:rPr>
          <w:rFonts w:asciiTheme="minorHAnsi" w:hAnsiTheme="minorHAnsi" w:cs="Arial"/>
        </w:rPr>
        <w:t>Figure 1. Flowchart of cohort selection</w:t>
      </w:r>
    </w:p>
    <w:p w:rsidR="0033041E" w:rsidRPr="00C06F17" w:rsidRDefault="0033041E" w:rsidP="0033041E">
      <w:pPr>
        <w:rPr>
          <w:color w:val="1E5E5E" w:themeColor="accent6"/>
        </w:rPr>
      </w:pPr>
      <w:r w:rsidRPr="00C06F17">
        <w:rPr>
          <w:noProof/>
          <w:color w:val="1E5E5E" w:themeColor="accent6"/>
          <w:lang w:eastAsia="en-AU"/>
        </w:rPr>
        <mc:AlternateContent>
          <mc:Choice Requires="wps">
            <w:drawing>
              <wp:anchor distT="0" distB="0" distL="114300" distR="114300" simplePos="0" relativeHeight="251659264" behindDoc="0" locked="0" layoutInCell="1" allowOverlap="1" wp14:anchorId="52674B1B" wp14:editId="5FB92997">
                <wp:simplePos x="0" y="0"/>
                <wp:positionH relativeFrom="column">
                  <wp:posOffset>457200</wp:posOffset>
                </wp:positionH>
                <wp:positionV relativeFrom="paragraph">
                  <wp:posOffset>115570</wp:posOffset>
                </wp:positionV>
                <wp:extent cx="4914265" cy="455295"/>
                <wp:effectExtent l="0" t="0" r="19685" b="20955"/>
                <wp:wrapSquare wrapText="bothSides"/>
                <wp:docPr id="2" name="Text Box 2"/>
                <wp:cNvGraphicFramePr/>
                <a:graphic xmlns:a="http://schemas.openxmlformats.org/drawingml/2006/main">
                  <a:graphicData uri="http://schemas.microsoft.com/office/word/2010/wordprocessingShape">
                    <wps:wsp>
                      <wps:cNvSpPr txBox="1"/>
                      <wps:spPr>
                        <a:xfrm>
                          <a:off x="0" y="0"/>
                          <a:ext cx="4914265" cy="455295"/>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sz w:val="20"/>
                              </w:rPr>
                            </w:pPr>
                            <w:r w:rsidRPr="00C06F17">
                              <w:rPr>
                                <w:rFonts w:cs="Arial"/>
                                <w:sz w:val="20"/>
                              </w:rPr>
                              <w:t>Integrated Offender Management System (IOMS) database search for all offenders released from youth detention from 01 January 2015 to 31 December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74B1B" id="_x0000_t202" coordsize="21600,21600" o:spt="202" path="m,l,21600r21600,l21600,xe">
                <v:stroke joinstyle="miter"/>
                <v:path gradientshapeok="t" o:connecttype="rect"/>
              </v:shapetype>
              <v:shape id="Text Box 2" o:spid="_x0000_s1026" type="#_x0000_t202" style="position:absolute;margin-left:36pt;margin-top:9.1pt;width:386.9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" fillcolor="window" strokeweight=".5pt">
                <v:textbox>
                  <w:txbxContent>
                    <w:p w:rsidR="0033041E" w:rsidRPr="00C06F17" w:rsidRDefault="0033041E" w:rsidP="0033041E">
                      <w:pPr>
                        <w:jc w:val="center"/>
                        <w:rPr>
                          <w:rFonts w:cs="Arial"/>
                          <w:sz w:val="20"/>
                        </w:rPr>
                      </w:pPr>
                      <w:r w:rsidRPr="00C06F17">
                        <w:rPr>
                          <w:rFonts w:cs="Arial"/>
                          <w:sz w:val="20"/>
                        </w:rPr>
                        <w:t>Integrated Offender Management System (IOMS) database search for all offenders released from youth detention from 01 January 2015 to 31 December 2019.</w:t>
                      </w:r>
                    </w:p>
                  </w:txbxContent>
                </v:textbox>
                <w10:wrap type="square"/>
              </v:shape>
            </w:pict>
          </mc:Fallback>
        </mc:AlternateContent>
      </w:r>
    </w:p>
    <w:p w:rsidR="0033041E" w:rsidRPr="00C06F17" w:rsidRDefault="0033041E" w:rsidP="0033041E">
      <w:pPr>
        <w:rPr>
          <w:color w:val="1E5E5E" w:themeColor="accent6"/>
        </w:rPr>
      </w:pPr>
      <w:r w:rsidRPr="00C06F17">
        <w:rPr>
          <w:noProof/>
          <w:color w:val="1E5E5E" w:themeColor="accent6"/>
          <w:lang w:eastAsia="en-AU"/>
        </w:rPr>
        <mc:AlternateContent>
          <mc:Choice Requires="wps">
            <w:drawing>
              <wp:anchor distT="0" distB="0" distL="114300" distR="114300" simplePos="0" relativeHeight="251663360" behindDoc="0" locked="0" layoutInCell="1" allowOverlap="1" wp14:anchorId="5D7D7D71" wp14:editId="32422DFF">
                <wp:simplePos x="0" y="0"/>
                <wp:positionH relativeFrom="column">
                  <wp:posOffset>2857500</wp:posOffset>
                </wp:positionH>
                <wp:positionV relativeFrom="paragraph">
                  <wp:posOffset>285455</wp:posOffset>
                </wp:positionV>
                <wp:extent cx="0" cy="227285"/>
                <wp:effectExtent l="76200" t="0" r="57150" b="59055"/>
                <wp:wrapNone/>
                <wp:docPr id="16" name="Straight Arrow Connector 16"/>
                <wp:cNvGraphicFramePr/>
                <a:graphic xmlns:a="http://schemas.openxmlformats.org/drawingml/2006/main">
                  <a:graphicData uri="http://schemas.microsoft.com/office/word/2010/wordprocessingShape">
                    <wps:wsp>
                      <wps:cNvCnPr/>
                      <wps:spPr>
                        <a:xfrm>
                          <a:off x="0" y="0"/>
                          <a:ext cx="0" cy="227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18B3262" id="_x0000_t32" coordsize="21600,21600" o:spt="32" o:oned="t" path="m,l21600,21600e" filled="f">
                <v:path arrowok="t" fillok="f" o:connecttype="none"/>
                <o:lock v:ext="edit" shapetype="t"/>
              </v:shapetype>
              <v:shape id="Straight Arrow Connector 16" o:spid="_x0000_s1026" type="#_x0000_t32" style="position:absolute;margin-left:225pt;margin-top:22.5pt;width:0;height:1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" strokecolor="windowText" strokeweight=".5pt">
                <v:stroke endarrow="block" joinstyle="miter"/>
              </v:shape>
            </w:pict>
          </mc:Fallback>
        </mc:AlternateContent>
      </w:r>
    </w:p>
    <w:p w:rsidR="0033041E" w:rsidRPr="00C06F17" w:rsidRDefault="0033041E" w:rsidP="0033041E">
      <w:pPr>
        <w:rPr>
          <w:color w:val="1E5E5E" w:themeColor="accent6"/>
        </w:rPr>
      </w:pPr>
      <w:r w:rsidRPr="00C06F17">
        <w:rPr>
          <w:noProof/>
          <w:color w:val="1E5E5E" w:themeColor="accent6"/>
          <w:lang w:eastAsia="en-AU"/>
        </w:rPr>
        <mc:AlternateContent>
          <mc:Choice Requires="wps">
            <w:drawing>
              <wp:anchor distT="0" distB="0" distL="114300" distR="114300" simplePos="0" relativeHeight="251660288" behindDoc="0" locked="0" layoutInCell="1" allowOverlap="1" wp14:anchorId="2FEB503A" wp14:editId="71718A93">
                <wp:simplePos x="0" y="0"/>
                <wp:positionH relativeFrom="column">
                  <wp:posOffset>1371600</wp:posOffset>
                </wp:positionH>
                <wp:positionV relativeFrom="paragraph">
                  <wp:posOffset>226990</wp:posOffset>
                </wp:positionV>
                <wp:extent cx="2971505" cy="455295"/>
                <wp:effectExtent l="0" t="0" r="19685" b="20955"/>
                <wp:wrapSquare wrapText="bothSides"/>
                <wp:docPr id="22" name="Text Box 22"/>
                <wp:cNvGraphicFramePr/>
                <a:graphic xmlns:a="http://schemas.openxmlformats.org/drawingml/2006/main">
                  <a:graphicData uri="http://schemas.microsoft.com/office/word/2010/wordprocessingShape">
                    <wps:wsp>
                      <wps:cNvSpPr txBox="1"/>
                      <wps:spPr>
                        <a:xfrm>
                          <a:off x="0" y="0"/>
                          <a:ext cx="2971505" cy="455295"/>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sz w:val="20"/>
                              </w:rPr>
                            </w:pPr>
                            <w:r w:rsidRPr="00C06F17">
                              <w:rPr>
                                <w:rFonts w:cs="Arial"/>
                                <w:sz w:val="20"/>
                              </w:rPr>
                              <w:t>544 youths aged 10 – 18 who completed their last youth detention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B503A" id="Text Box 22" o:spid="_x0000_s1027" type="#_x0000_t202" style="position:absolute;margin-left:108pt;margin-top:17.85pt;width:234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" fillcolor="window" strokeweight=".5pt">
                <v:textbox>
                  <w:txbxContent>
                    <w:p w:rsidR="0033041E" w:rsidRPr="00C06F17" w:rsidRDefault="0033041E" w:rsidP="0033041E">
                      <w:pPr>
                        <w:jc w:val="center"/>
                        <w:rPr>
                          <w:rFonts w:cs="Arial"/>
                          <w:sz w:val="20"/>
                        </w:rPr>
                      </w:pPr>
                      <w:r w:rsidRPr="00C06F17">
                        <w:rPr>
                          <w:rFonts w:cs="Arial"/>
                          <w:sz w:val="20"/>
                        </w:rPr>
                        <w:t>544 youths aged 10 – 18 who completed their last youth detention identified</w:t>
                      </w:r>
                    </w:p>
                  </w:txbxContent>
                </v:textbox>
                <w10:wrap type="square"/>
              </v:shape>
            </w:pict>
          </mc:Fallback>
        </mc:AlternateContent>
      </w:r>
    </w:p>
    <w:p w:rsidR="0033041E" w:rsidRPr="00C06F17" w:rsidRDefault="0033041E" w:rsidP="0033041E">
      <w:pPr>
        <w:rPr>
          <w:color w:val="1E5E5E" w:themeColor="accent6"/>
        </w:rPr>
      </w:pPr>
    </w:p>
    <w:p w:rsidR="0033041E" w:rsidRPr="00C06F17" w:rsidRDefault="0033041E" w:rsidP="0033041E">
      <w:pPr>
        <w:rPr>
          <w:color w:val="1E5E5E" w:themeColor="accent6"/>
        </w:rPr>
      </w:pPr>
      <w:r w:rsidRPr="00C06F17">
        <w:rPr>
          <w:noProof/>
          <w:color w:val="1E5E5E" w:themeColor="accent6"/>
          <w:lang w:eastAsia="en-AU"/>
        </w:rPr>
        <mc:AlternateContent>
          <mc:Choice Requires="wps">
            <w:drawing>
              <wp:anchor distT="0" distB="0" distL="114300" distR="114300" simplePos="0" relativeHeight="251664384" behindDoc="0" locked="0" layoutInCell="1" allowOverlap="1" wp14:anchorId="2BDE0A83" wp14:editId="004606A8">
                <wp:simplePos x="0" y="0"/>
                <wp:positionH relativeFrom="column">
                  <wp:posOffset>2859110</wp:posOffset>
                </wp:positionH>
                <wp:positionV relativeFrom="paragraph">
                  <wp:posOffset>111420</wp:posOffset>
                </wp:positionV>
                <wp:extent cx="0" cy="690925"/>
                <wp:effectExtent l="76200" t="0" r="57150" b="52070"/>
                <wp:wrapNone/>
                <wp:docPr id="3" name="Straight Arrow Connector 3"/>
                <wp:cNvGraphicFramePr/>
                <a:graphic xmlns:a="http://schemas.openxmlformats.org/drawingml/2006/main">
                  <a:graphicData uri="http://schemas.microsoft.com/office/word/2010/wordprocessingShape">
                    <wps:wsp>
                      <wps:cNvCnPr/>
                      <wps:spPr>
                        <a:xfrm>
                          <a:off x="0" y="0"/>
                          <a:ext cx="0" cy="690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419777B" id="Straight Arrow Connector 3" o:spid="_x0000_s1026" type="#_x0000_t32" style="position:absolute;margin-left:225.15pt;margin-top:8.75pt;width:0;height:54.4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" strokecolor="windowText" strokeweight=".5pt">
                <v:stroke endarrow="block" joinstyle="miter"/>
              </v:shape>
            </w:pict>
          </mc:Fallback>
        </mc:AlternateContent>
      </w:r>
      <w:r w:rsidRPr="00C06F17">
        <w:rPr>
          <w:noProof/>
          <w:color w:val="1E5E5E" w:themeColor="accent6"/>
          <w:lang w:eastAsia="en-AU"/>
        </w:rPr>
        <mc:AlternateContent>
          <mc:Choice Requires="wps">
            <w:drawing>
              <wp:anchor distT="0" distB="0" distL="114300" distR="114300" simplePos="0" relativeHeight="251661312" behindDoc="0" locked="0" layoutInCell="1" allowOverlap="1" wp14:anchorId="1979FDF3" wp14:editId="78101F7A">
                <wp:simplePos x="0" y="0"/>
                <wp:positionH relativeFrom="column">
                  <wp:posOffset>3315970</wp:posOffset>
                </wp:positionH>
                <wp:positionV relativeFrom="paragraph">
                  <wp:posOffset>229235</wp:posOffset>
                </wp:positionV>
                <wp:extent cx="2054860" cy="457200"/>
                <wp:effectExtent l="0" t="0" r="21590" b="19050"/>
                <wp:wrapSquare wrapText="bothSides"/>
                <wp:docPr id="8" name="Text Box 8"/>
                <wp:cNvGraphicFramePr/>
                <a:graphic xmlns:a="http://schemas.openxmlformats.org/drawingml/2006/main">
                  <a:graphicData uri="http://schemas.microsoft.com/office/word/2010/wordprocessingShape">
                    <wps:wsp>
                      <wps:cNvSpPr txBox="1"/>
                      <wps:spPr>
                        <a:xfrm>
                          <a:off x="0" y="0"/>
                          <a:ext cx="2054860" cy="457200"/>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rPr>
                            </w:pPr>
                            <w:r w:rsidRPr="00C06F17">
                              <w:rPr>
                                <w:rFonts w:cs="Arial"/>
                                <w:sz w:val="20"/>
                              </w:rPr>
                              <w:t xml:space="preserve">34 youths excluded:     Transferred to </w:t>
                            </w:r>
                            <w:r w:rsidRPr="00C06F17">
                              <w:rPr>
                                <w:rFonts w:cs="Arial"/>
                                <w:sz w:val="20"/>
                                <w:szCs w:val="20"/>
                              </w:rPr>
                              <w:t>adult custody</w:t>
                            </w:r>
                          </w:p>
                          <w:p w:rsidR="0033041E" w:rsidRDefault="0033041E" w:rsidP="00330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79FDF3" id="Text Box 8" o:spid="_x0000_s1028" type="#_x0000_t202" style="position:absolute;margin-left:261.1pt;margin-top:18.05pt;width:16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" fillcolor="window" strokeweight=".5pt">
                <v:textbox>
                  <w:txbxContent>
                    <w:p w:rsidR="0033041E" w:rsidRPr="00C06F17" w:rsidRDefault="0033041E" w:rsidP="0033041E">
                      <w:pPr>
                        <w:jc w:val="center"/>
                        <w:rPr>
                          <w:rFonts w:cs="Arial"/>
                        </w:rPr>
                      </w:pPr>
                      <w:r w:rsidRPr="00C06F17">
                        <w:rPr>
                          <w:rFonts w:cs="Arial"/>
                          <w:sz w:val="20"/>
                        </w:rPr>
                        <w:t xml:space="preserve">34 youths excluded:     Transferred to </w:t>
                      </w:r>
                      <w:r w:rsidRPr="00C06F17">
                        <w:rPr>
                          <w:rFonts w:cs="Arial"/>
                          <w:sz w:val="20"/>
                          <w:szCs w:val="20"/>
                        </w:rPr>
                        <w:t>adult custody</w:t>
                      </w:r>
                    </w:p>
                    <w:p w:rsidR="0033041E" w:rsidRDefault="0033041E" w:rsidP="0033041E"/>
                  </w:txbxContent>
                </v:textbox>
                <w10:wrap type="square"/>
              </v:shape>
            </w:pict>
          </mc:Fallback>
        </mc:AlternateContent>
      </w:r>
    </w:p>
    <w:p w:rsidR="0033041E" w:rsidRPr="00C06F17" w:rsidRDefault="0033041E" w:rsidP="0033041E">
      <w:pPr>
        <w:rPr>
          <w:color w:val="1E5E5E" w:themeColor="accent6"/>
        </w:rPr>
      </w:pPr>
      <w:r w:rsidRPr="00C06F17">
        <w:rPr>
          <w:noProof/>
          <w:color w:val="1E5E5E" w:themeColor="accent6"/>
          <w:lang w:eastAsia="en-AU"/>
        </w:rPr>
        <mc:AlternateContent>
          <mc:Choice Requires="wps">
            <w:drawing>
              <wp:anchor distT="0" distB="0" distL="114300" distR="114300" simplePos="0" relativeHeight="251670528" behindDoc="0" locked="0" layoutInCell="1" allowOverlap="1" wp14:anchorId="1D948F7A" wp14:editId="6751069F">
                <wp:simplePos x="0" y="0"/>
                <wp:positionH relativeFrom="column">
                  <wp:posOffset>2859110</wp:posOffset>
                </wp:positionH>
                <wp:positionV relativeFrom="paragraph">
                  <wp:posOffset>172085</wp:posOffset>
                </wp:positionV>
                <wp:extent cx="457200" cy="0"/>
                <wp:effectExtent l="0" t="76200" r="19050" b="95250"/>
                <wp:wrapNone/>
                <wp:docPr id="30" name="Straight Arrow Connector 3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2D4934" id="Straight Arrow Connector 30" o:spid="_x0000_s1026" type="#_x0000_t32" style="position:absolute;margin-left:225.15pt;margin-top:13.55pt;width:36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" strokecolor="windowText" strokeweight=".5pt">
                <v:stroke endarrow="block" joinstyle="miter"/>
              </v:shape>
            </w:pict>
          </mc:Fallback>
        </mc:AlternateContent>
      </w:r>
    </w:p>
    <w:p w:rsidR="0033041E" w:rsidRPr="00C06F17" w:rsidRDefault="0033041E" w:rsidP="0033041E">
      <w:pPr>
        <w:jc w:val="both"/>
        <w:rPr>
          <w:rFonts w:cs="Arial"/>
          <w:b/>
          <w:color w:val="1E5E5E" w:themeColor="accent6"/>
        </w:rPr>
      </w:pPr>
      <w:r w:rsidRPr="00C06F17">
        <w:rPr>
          <w:noProof/>
          <w:color w:val="1E5E5E" w:themeColor="accent6"/>
          <w:lang w:eastAsia="en-AU"/>
        </w:rPr>
        <mc:AlternateContent>
          <mc:Choice Requires="wps">
            <w:drawing>
              <wp:anchor distT="0" distB="0" distL="114300" distR="114300" simplePos="0" relativeHeight="251666432" behindDoc="0" locked="0" layoutInCell="1" allowOverlap="1" wp14:anchorId="2A77F0A8" wp14:editId="56583047">
                <wp:simplePos x="0" y="0"/>
                <wp:positionH relativeFrom="column">
                  <wp:posOffset>1030310</wp:posOffset>
                </wp:positionH>
                <wp:positionV relativeFrom="paragraph">
                  <wp:posOffset>230845</wp:posOffset>
                </wp:positionV>
                <wp:extent cx="3655990" cy="455295"/>
                <wp:effectExtent l="0" t="0" r="20955" b="20955"/>
                <wp:wrapSquare wrapText="bothSides"/>
                <wp:docPr id="25" name="Text Box 25"/>
                <wp:cNvGraphicFramePr/>
                <a:graphic xmlns:a="http://schemas.openxmlformats.org/drawingml/2006/main">
                  <a:graphicData uri="http://schemas.microsoft.com/office/word/2010/wordprocessingShape">
                    <wps:wsp>
                      <wps:cNvSpPr txBox="1"/>
                      <wps:spPr>
                        <a:xfrm>
                          <a:off x="0" y="0"/>
                          <a:ext cx="3655990" cy="455295"/>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sz w:val="20"/>
                              </w:rPr>
                            </w:pPr>
                            <w:r w:rsidRPr="00C06F17">
                              <w:rPr>
                                <w:rFonts w:cs="Arial"/>
                                <w:sz w:val="20"/>
                              </w:rPr>
                              <w:t xml:space="preserve">510 youths discharged from custody identified      </w:t>
                            </w:r>
                            <w:r>
                              <w:rPr>
                                <w:rFonts w:cs="Arial"/>
                                <w:sz w:val="20"/>
                              </w:rPr>
                              <w:t xml:space="preserve"> </w:t>
                            </w:r>
                            <w:r w:rsidRPr="00C06F17">
                              <w:rPr>
                                <w:rFonts w:cs="Arial"/>
                                <w:sz w:val="20"/>
                              </w:rPr>
                              <w:t xml:space="preserve"> (Sentenced expired or transferred to community supervision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7F0A8" id="Text Box 25" o:spid="_x0000_s1029" type="#_x0000_t202" style="position:absolute;left:0;text-align:left;margin-left:81.15pt;margin-top:18.2pt;width:287.85pt;height:3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" fillcolor="window" strokeweight=".5pt">
                <v:textbox>
                  <w:txbxContent>
                    <w:p w:rsidR="0033041E" w:rsidRPr="00C06F17" w:rsidRDefault="0033041E" w:rsidP="0033041E">
                      <w:pPr>
                        <w:jc w:val="center"/>
                        <w:rPr>
                          <w:rFonts w:cs="Arial"/>
                          <w:sz w:val="20"/>
                        </w:rPr>
                      </w:pPr>
                      <w:r w:rsidRPr="00C06F17">
                        <w:rPr>
                          <w:rFonts w:cs="Arial"/>
                          <w:sz w:val="20"/>
                        </w:rPr>
                        <w:t xml:space="preserve">510 youths discharged from custody identified      </w:t>
                      </w:r>
                      <w:r>
                        <w:rPr>
                          <w:rFonts w:cs="Arial"/>
                          <w:sz w:val="20"/>
                        </w:rPr>
                        <w:t xml:space="preserve"> </w:t>
                      </w:r>
                      <w:r w:rsidRPr="00C06F17">
                        <w:rPr>
                          <w:rFonts w:cs="Arial"/>
                          <w:sz w:val="20"/>
                        </w:rPr>
                        <w:t xml:space="preserve"> (Sentenced expired or transferred to community supervision</w:t>
                      </w:r>
                    </w:p>
                  </w:txbxContent>
                </v:textbox>
                <w10:wrap type="square"/>
              </v:shape>
            </w:pict>
          </mc:Fallback>
        </mc:AlternateContent>
      </w:r>
    </w:p>
    <w:p w:rsidR="0033041E" w:rsidRPr="00C06F17" w:rsidRDefault="0033041E" w:rsidP="0033041E">
      <w:pPr>
        <w:jc w:val="both"/>
        <w:rPr>
          <w:rFonts w:cs="Arial"/>
          <w:b/>
          <w:color w:val="1E5E5E" w:themeColor="accent6"/>
        </w:rPr>
      </w:pPr>
    </w:p>
    <w:p w:rsidR="0033041E" w:rsidRPr="00C06F17" w:rsidRDefault="003D7BF2" w:rsidP="0033041E">
      <w:pPr>
        <w:jc w:val="both"/>
        <w:rPr>
          <w:rFonts w:cs="Arial"/>
          <w:b/>
          <w:color w:val="1E5E5E" w:themeColor="accent6"/>
        </w:rPr>
      </w:pPr>
      <w:r>
        <w:rPr>
          <w:noProof/>
          <w:color w:val="1E5E5E" w:themeColor="accent6"/>
          <w:lang w:eastAsia="en-AU"/>
        </w:rPr>
        <mc:AlternateContent>
          <mc:Choice Requires="wps">
            <w:drawing>
              <wp:anchor distT="0" distB="0" distL="114300" distR="114300" simplePos="0" relativeHeight="251675648" behindDoc="0" locked="0" layoutInCell="1" allowOverlap="1" wp14:anchorId="4FBC991B" wp14:editId="4BCD79A3">
                <wp:simplePos x="0" y="0"/>
                <wp:positionH relativeFrom="column">
                  <wp:posOffset>2858400</wp:posOffset>
                </wp:positionH>
                <wp:positionV relativeFrom="paragraph">
                  <wp:posOffset>95760</wp:posOffset>
                </wp:positionV>
                <wp:extent cx="0" cy="790305"/>
                <wp:effectExtent l="76200" t="0" r="57150" b="48260"/>
                <wp:wrapNone/>
                <wp:docPr id="44" name="Straight Arrow Connector 44"/>
                <wp:cNvGraphicFramePr/>
                <a:graphic xmlns:a="http://schemas.openxmlformats.org/drawingml/2006/main">
                  <a:graphicData uri="http://schemas.microsoft.com/office/word/2010/wordprocessingShape">
                    <wps:wsp>
                      <wps:cNvCnPr/>
                      <wps:spPr>
                        <a:xfrm>
                          <a:off x="0" y="0"/>
                          <a:ext cx="0" cy="790305"/>
                        </a:xfrm>
                        <a:prstGeom prst="straightConnector1">
                          <a:avLst/>
                        </a:prstGeom>
                        <a:ln>
                          <a:solidFill>
                            <a:srgbClr val="030309"/>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57AD5E" id="Straight Arrow Connector 44" o:spid="_x0000_s1026" type="#_x0000_t32" style="position:absolute;margin-left:225.05pt;margin-top:7.55pt;width:0;height:62.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" strokecolor="#030309" strokeweight=".5pt">
                <v:stroke endarrow="block" joinstyle="miter"/>
              </v:shape>
            </w:pict>
          </mc:Fallback>
        </mc:AlternateContent>
      </w:r>
      <w:r w:rsidR="0033041E" w:rsidRPr="00C06F17">
        <w:rPr>
          <w:noProof/>
          <w:color w:val="1E5E5E" w:themeColor="accent6"/>
          <w:lang w:eastAsia="en-AU"/>
        </w:rPr>
        <mc:AlternateContent>
          <mc:Choice Requires="wps">
            <w:drawing>
              <wp:anchor distT="0" distB="0" distL="114300" distR="114300" simplePos="0" relativeHeight="251662336" behindDoc="0" locked="0" layoutInCell="1" allowOverlap="1" wp14:anchorId="7C55F41C" wp14:editId="7B9A9BEA">
                <wp:simplePos x="0" y="0"/>
                <wp:positionH relativeFrom="column">
                  <wp:posOffset>3316605</wp:posOffset>
                </wp:positionH>
                <wp:positionV relativeFrom="paragraph">
                  <wp:posOffset>250825</wp:posOffset>
                </wp:positionV>
                <wp:extent cx="2054860" cy="457200"/>
                <wp:effectExtent l="0" t="0" r="21590" b="19050"/>
                <wp:wrapNone/>
                <wp:docPr id="29" name="Text Box 29"/>
                <wp:cNvGraphicFramePr/>
                <a:graphic xmlns:a="http://schemas.openxmlformats.org/drawingml/2006/main">
                  <a:graphicData uri="http://schemas.microsoft.com/office/word/2010/wordprocessingShape">
                    <wps:wsp>
                      <wps:cNvSpPr txBox="1"/>
                      <wps:spPr>
                        <a:xfrm>
                          <a:off x="0" y="0"/>
                          <a:ext cx="2054860" cy="457200"/>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rPr>
                            </w:pPr>
                            <w:r w:rsidRPr="00C06F17">
                              <w:rPr>
                                <w:rFonts w:cs="Arial"/>
                                <w:sz w:val="20"/>
                              </w:rPr>
                              <w:t>139 youths excluded:                   &lt; 18years old on 01 Jan 2020</w:t>
                            </w:r>
                          </w:p>
                          <w:p w:rsidR="0033041E" w:rsidRDefault="0033041E" w:rsidP="00330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5F41C" id="Text Box 29" o:spid="_x0000_s1030" type="#_x0000_t202" style="position:absolute;left:0;text-align:left;margin-left:261.15pt;margin-top:19.75pt;width:161.8pt;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" fillcolor="window" strokeweight=".5pt">
                <v:textbox>
                  <w:txbxContent>
                    <w:p w:rsidR="0033041E" w:rsidRPr="00C06F17" w:rsidRDefault="0033041E" w:rsidP="0033041E">
                      <w:pPr>
                        <w:jc w:val="center"/>
                        <w:rPr>
                          <w:rFonts w:cs="Arial"/>
                        </w:rPr>
                      </w:pPr>
                      <w:r w:rsidRPr="00C06F17">
                        <w:rPr>
                          <w:rFonts w:cs="Arial"/>
                          <w:sz w:val="20"/>
                        </w:rPr>
                        <w:t>139 youths excluded:                   &lt; 18years old on 01 Jan 2020</w:t>
                      </w:r>
                    </w:p>
                    <w:p w:rsidR="0033041E" w:rsidRDefault="0033041E" w:rsidP="0033041E"/>
                  </w:txbxContent>
                </v:textbox>
              </v:shape>
            </w:pict>
          </mc:Fallback>
        </mc:AlternateContent>
      </w:r>
    </w:p>
    <w:p w:rsidR="0033041E" w:rsidRPr="00C06F17" w:rsidRDefault="0033041E" w:rsidP="0033041E">
      <w:pPr>
        <w:jc w:val="both"/>
        <w:rPr>
          <w:rFonts w:cs="Arial"/>
          <w:b/>
          <w:color w:val="1E5E5E" w:themeColor="accent6"/>
        </w:rPr>
      </w:pPr>
      <w:r w:rsidRPr="00C06F17">
        <w:rPr>
          <w:rFonts w:cs="Arial"/>
          <w:b/>
          <w:noProof/>
          <w:color w:val="1E5E5E" w:themeColor="accent6"/>
          <w:lang w:eastAsia="en-AU"/>
        </w:rPr>
        <mc:AlternateContent>
          <mc:Choice Requires="wps">
            <w:drawing>
              <wp:anchor distT="0" distB="0" distL="114300" distR="114300" simplePos="0" relativeHeight="251671552" behindDoc="0" locked="0" layoutInCell="1" allowOverlap="1" wp14:anchorId="1CBD85C4" wp14:editId="2DC1664E">
                <wp:simplePos x="0" y="0"/>
                <wp:positionH relativeFrom="column">
                  <wp:posOffset>2859110</wp:posOffset>
                </wp:positionH>
                <wp:positionV relativeFrom="paragraph">
                  <wp:posOffset>204470</wp:posOffset>
                </wp:positionV>
                <wp:extent cx="457200" cy="0"/>
                <wp:effectExtent l="0" t="76200" r="19050" b="95250"/>
                <wp:wrapNone/>
                <wp:docPr id="31" name="Straight Arrow Connector 31"/>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F09165" id="Straight Arrow Connector 31" o:spid="_x0000_s1026" type="#_x0000_t32" style="position:absolute;margin-left:225.15pt;margin-top:16.1pt;width:36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" strokecolor="windowText" strokeweight=".5pt">
                <v:stroke endarrow="block" joinstyle="miter"/>
              </v:shape>
            </w:pict>
          </mc:Fallback>
        </mc:AlternateContent>
      </w:r>
    </w:p>
    <w:p w:rsidR="0033041E" w:rsidRPr="00C06F17" w:rsidRDefault="0033041E" w:rsidP="0033041E">
      <w:pPr>
        <w:jc w:val="both"/>
        <w:rPr>
          <w:rFonts w:cs="Arial"/>
          <w:b/>
          <w:color w:val="1E5E5E" w:themeColor="accent6"/>
        </w:rPr>
      </w:pPr>
    </w:p>
    <w:p w:rsidR="0033041E" w:rsidRPr="00C06F17" w:rsidRDefault="0033041E" w:rsidP="0033041E">
      <w:pPr>
        <w:jc w:val="center"/>
        <w:rPr>
          <w:rFonts w:cs="Arial"/>
          <w:color w:val="1E5E5E" w:themeColor="accent6"/>
        </w:rPr>
      </w:pPr>
      <w:r w:rsidRPr="00C06F17">
        <w:rPr>
          <w:noProof/>
          <w:color w:val="1E5E5E" w:themeColor="accent6"/>
          <w:lang w:eastAsia="en-AU"/>
        </w:rPr>
        <mc:AlternateContent>
          <mc:Choice Requires="wps">
            <w:drawing>
              <wp:anchor distT="0" distB="0" distL="114300" distR="114300" simplePos="0" relativeHeight="251665408" behindDoc="0" locked="0" layoutInCell="1" allowOverlap="1" wp14:anchorId="6F7E775B" wp14:editId="61B5C0AA">
                <wp:simplePos x="0" y="0"/>
                <wp:positionH relativeFrom="column">
                  <wp:posOffset>1030310</wp:posOffset>
                </wp:positionH>
                <wp:positionV relativeFrom="paragraph">
                  <wp:posOffset>3649</wp:posOffset>
                </wp:positionV>
                <wp:extent cx="3655695" cy="445931"/>
                <wp:effectExtent l="0" t="0" r="20955" b="11430"/>
                <wp:wrapNone/>
                <wp:docPr id="32" name="Text Box 32"/>
                <wp:cNvGraphicFramePr/>
                <a:graphic xmlns:a="http://schemas.openxmlformats.org/drawingml/2006/main">
                  <a:graphicData uri="http://schemas.microsoft.com/office/word/2010/wordprocessingShape">
                    <wps:wsp>
                      <wps:cNvSpPr txBox="1"/>
                      <wps:spPr>
                        <a:xfrm>
                          <a:off x="0" y="0"/>
                          <a:ext cx="3655695" cy="445931"/>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sz w:val="20"/>
                              </w:rPr>
                            </w:pPr>
                            <w:r w:rsidRPr="00C06F17">
                              <w:rPr>
                                <w:rFonts w:cs="Arial"/>
                                <w:sz w:val="20"/>
                              </w:rPr>
                              <w:t>371 youths discharged from custody who are 18 years old and above on 01 Jan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E775B" id="Text Box 32" o:spid="_x0000_s1031" type="#_x0000_t202" style="position:absolute;left:0;text-align:left;margin-left:81.15pt;margin-top:.3pt;width:287.85pt;height:3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" fillcolor="window" strokeweight=".5pt">
                <v:textbox>
                  <w:txbxContent>
                    <w:p w:rsidR="0033041E" w:rsidRPr="00C06F17" w:rsidRDefault="0033041E" w:rsidP="0033041E">
                      <w:pPr>
                        <w:jc w:val="center"/>
                        <w:rPr>
                          <w:rFonts w:cs="Arial"/>
                          <w:sz w:val="20"/>
                        </w:rPr>
                      </w:pPr>
                      <w:r w:rsidRPr="00C06F17">
                        <w:rPr>
                          <w:rFonts w:cs="Arial"/>
                          <w:sz w:val="20"/>
                        </w:rPr>
                        <w:t>371 youths discharged from custody who are 18 years old and above on 01 Jan 2020</w:t>
                      </w:r>
                    </w:p>
                  </w:txbxContent>
                </v:textbox>
              </v:shape>
            </w:pict>
          </mc:Fallback>
        </mc:AlternateContent>
      </w:r>
    </w:p>
    <w:p w:rsidR="0033041E" w:rsidRPr="00C06F17" w:rsidRDefault="003D7BF2" w:rsidP="0033041E">
      <w:pPr>
        <w:jc w:val="center"/>
        <w:rPr>
          <w:rFonts w:cs="Arial"/>
          <w:color w:val="1E5E5E" w:themeColor="accent6"/>
        </w:rPr>
      </w:pPr>
      <w:r>
        <w:rPr>
          <w:rFonts w:cs="Arial"/>
          <w:noProof/>
          <w:color w:val="1E5E5E" w:themeColor="accent6"/>
          <w:lang w:eastAsia="en-AU"/>
        </w:rPr>
        <mc:AlternateContent>
          <mc:Choice Requires="wps">
            <w:drawing>
              <wp:anchor distT="0" distB="0" distL="114300" distR="114300" simplePos="0" relativeHeight="251674624" behindDoc="0" locked="0" layoutInCell="1" allowOverlap="1" wp14:anchorId="16693743" wp14:editId="0A377F70">
                <wp:simplePos x="0" y="0"/>
                <wp:positionH relativeFrom="column">
                  <wp:posOffset>2858400</wp:posOffset>
                </wp:positionH>
                <wp:positionV relativeFrom="paragraph">
                  <wp:posOffset>153275</wp:posOffset>
                </wp:positionV>
                <wp:extent cx="0" cy="763830"/>
                <wp:effectExtent l="76200" t="0" r="57150" b="55880"/>
                <wp:wrapNone/>
                <wp:docPr id="43" name="Straight Arrow Connector 43"/>
                <wp:cNvGraphicFramePr/>
                <a:graphic xmlns:a="http://schemas.openxmlformats.org/drawingml/2006/main">
                  <a:graphicData uri="http://schemas.microsoft.com/office/word/2010/wordprocessingShape">
                    <wps:wsp>
                      <wps:cNvCnPr/>
                      <wps:spPr>
                        <a:xfrm>
                          <a:off x="0" y="0"/>
                          <a:ext cx="0" cy="763830"/>
                        </a:xfrm>
                        <a:prstGeom prst="straightConnector1">
                          <a:avLst/>
                        </a:prstGeom>
                        <a:ln>
                          <a:solidFill>
                            <a:srgbClr val="030309"/>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6E28B8" id="Straight Arrow Connector 43" o:spid="_x0000_s1026" type="#_x0000_t32" style="position:absolute;margin-left:225.05pt;margin-top:12.05pt;width:0;height:60.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" strokecolor="#030309" strokeweight=".5pt">
                <v:stroke endarrow="block" joinstyle="miter"/>
              </v:shape>
            </w:pict>
          </mc:Fallback>
        </mc:AlternateContent>
      </w:r>
    </w:p>
    <w:p w:rsidR="0033041E" w:rsidRPr="00C06F17" w:rsidRDefault="0033041E" w:rsidP="0033041E">
      <w:pPr>
        <w:jc w:val="center"/>
        <w:rPr>
          <w:rFonts w:cs="Arial"/>
          <w:color w:val="1E5E5E" w:themeColor="accent6"/>
        </w:rPr>
      </w:pPr>
      <w:r w:rsidRPr="00C06F17">
        <w:rPr>
          <w:noProof/>
          <w:color w:val="1E5E5E" w:themeColor="accent6"/>
          <w:lang w:eastAsia="en-AU"/>
        </w:rPr>
        <mc:AlternateContent>
          <mc:Choice Requires="wps">
            <w:drawing>
              <wp:anchor distT="0" distB="0" distL="114300" distR="114300" simplePos="0" relativeHeight="251673600" behindDoc="0" locked="0" layoutInCell="1" allowOverlap="1" wp14:anchorId="12D82AD2" wp14:editId="09EF69A6">
                <wp:simplePos x="0" y="0"/>
                <wp:positionH relativeFrom="column">
                  <wp:posOffset>2859110</wp:posOffset>
                </wp:positionH>
                <wp:positionV relativeFrom="paragraph">
                  <wp:posOffset>242570</wp:posOffset>
                </wp:positionV>
                <wp:extent cx="457200" cy="0"/>
                <wp:effectExtent l="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BE75A3" id="Straight Arrow Connector 19" o:spid="_x0000_s1026" type="#_x0000_t32" style="position:absolute;margin-left:225.15pt;margin-top:19.1pt;width:3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" strokecolor="windowText" strokeweight=".5pt">
                <v:stroke endarrow="block" joinstyle="miter"/>
              </v:shape>
            </w:pict>
          </mc:Fallback>
        </mc:AlternateContent>
      </w:r>
      <w:r w:rsidRPr="00C06F17">
        <w:rPr>
          <w:noProof/>
          <w:color w:val="1E5E5E" w:themeColor="accent6"/>
          <w:lang w:eastAsia="en-AU"/>
        </w:rPr>
        <mc:AlternateContent>
          <mc:Choice Requires="wps">
            <w:drawing>
              <wp:anchor distT="0" distB="0" distL="114300" distR="114300" simplePos="0" relativeHeight="251668480" behindDoc="0" locked="0" layoutInCell="1" allowOverlap="1" wp14:anchorId="40B4B0FD" wp14:editId="6EF6AFC7">
                <wp:simplePos x="0" y="0"/>
                <wp:positionH relativeFrom="column">
                  <wp:posOffset>3314700</wp:posOffset>
                </wp:positionH>
                <wp:positionV relativeFrom="paragraph">
                  <wp:posOffset>13585</wp:posOffset>
                </wp:positionV>
                <wp:extent cx="2054860" cy="457200"/>
                <wp:effectExtent l="0" t="0" r="21590" b="19050"/>
                <wp:wrapNone/>
                <wp:docPr id="34" name="Text Box 34"/>
                <wp:cNvGraphicFramePr/>
                <a:graphic xmlns:a="http://schemas.openxmlformats.org/drawingml/2006/main">
                  <a:graphicData uri="http://schemas.microsoft.com/office/word/2010/wordprocessingShape">
                    <wps:wsp>
                      <wps:cNvSpPr txBox="1"/>
                      <wps:spPr>
                        <a:xfrm>
                          <a:off x="0" y="0"/>
                          <a:ext cx="2054860" cy="457200"/>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rPr>
                            </w:pPr>
                            <w:r w:rsidRPr="00C06F17">
                              <w:rPr>
                                <w:rFonts w:cs="Arial"/>
                                <w:sz w:val="20"/>
                              </w:rPr>
                              <w:t>18 youths excluded:                 &lt;15 years old on last discharge</w:t>
                            </w:r>
                          </w:p>
                          <w:p w:rsidR="0033041E" w:rsidRDefault="0033041E" w:rsidP="003304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4B0FD" id="Text Box 34" o:spid="_x0000_s1032" type="#_x0000_t202" style="position:absolute;left:0;text-align:left;margin-left:261pt;margin-top:1.05pt;width:161.8pt;height:3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" fillcolor="window" strokeweight=".5pt">
                <v:textbox>
                  <w:txbxContent>
                    <w:p w:rsidR="0033041E" w:rsidRPr="00C06F17" w:rsidRDefault="0033041E" w:rsidP="0033041E">
                      <w:pPr>
                        <w:jc w:val="center"/>
                        <w:rPr>
                          <w:rFonts w:cs="Arial"/>
                        </w:rPr>
                      </w:pPr>
                      <w:r w:rsidRPr="00C06F17">
                        <w:rPr>
                          <w:rFonts w:cs="Arial"/>
                          <w:sz w:val="20"/>
                        </w:rPr>
                        <w:t>18 youths excluded:                 &lt;15 years old on last discharge</w:t>
                      </w:r>
                    </w:p>
                    <w:p w:rsidR="0033041E" w:rsidRDefault="0033041E" w:rsidP="0033041E"/>
                  </w:txbxContent>
                </v:textbox>
              </v:shape>
            </w:pict>
          </mc:Fallback>
        </mc:AlternateContent>
      </w:r>
    </w:p>
    <w:p w:rsidR="0033041E" w:rsidRPr="00C06F17" w:rsidRDefault="0033041E" w:rsidP="0033041E">
      <w:pPr>
        <w:jc w:val="center"/>
        <w:rPr>
          <w:rFonts w:cs="Arial"/>
          <w:color w:val="1E5E5E" w:themeColor="accent6"/>
        </w:rPr>
      </w:pPr>
    </w:p>
    <w:p w:rsidR="0033041E" w:rsidRPr="00C06F17" w:rsidRDefault="003D7BF2" w:rsidP="0033041E">
      <w:pPr>
        <w:jc w:val="center"/>
        <w:rPr>
          <w:rFonts w:cs="Arial"/>
        </w:rPr>
      </w:pPr>
      <w:r w:rsidRPr="00C06F17">
        <w:rPr>
          <w:noProof/>
          <w:color w:val="1E5E5E" w:themeColor="accent6"/>
          <w:lang w:eastAsia="en-AU"/>
        </w:rPr>
        <mc:AlternateContent>
          <mc:Choice Requires="wps">
            <w:drawing>
              <wp:anchor distT="0" distB="0" distL="114300" distR="114300" simplePos="0" relativeHeight="251669504" behindDoc="0" locked="0" layoutInCell="1" allowOverlap="1" wp14:anchorId="08C24548" wp14:editId="03FDBA94">
                <wp:simplePos x="0" y="0"/>
                <wp:positionH relativeFrom="column">
                  <wp:posOffset>1146048</wp:posOffset>
                </wp:positionH>
                <wp:positionV relativeFrom="paragraph">
                  <wp:posOffset>35433</wp:posOffset>
                </wp:positionV>
                <wp:extent cx="3425780" cy="268224"/>
                <wp:effectExtent l="0" t="0" r="22860" b="17780"/>
                <wp:wrapNone/>
                <wp:docPr id="36" name="Text Box 36"/>
                <wp:cNvGraphicFramePr/>
                <a:graphic xmlns:a="http://schemas.openxmlformats.org/drawingml/2006/main">
                  <a:graphicData uri="http://schemas.microsoft.com/office/word/2010/wordprocessingShape">
                    <wps:wsp>
                      <wps:cNvSpPr txBox="1"/>
                      <wps:spPr>
                        <a:xfrm>
                          <a:off x="0" y="0"/>
                          <a:ext cx="3425780" cy="268224"/>
                        </a:xfrm>
                        <a:prstGeom prst="rect">
                          <a:avLst/>
                        </a:prstGeom>
                        <a:solidFill>
                          <a:sysClr val="window" lastClr="FFFFFF"/>
                        </a:solidFill>
                        <a:ln w="6350">
                          <a:solidFill>
                            <a:prstClr val="black"/>
                          </a:solidFill>
                        </a:ln>
                      </wps:spPr>
                      <wps:txbx>
                        <w:txbxContent>
                          <w:p w:rsidR="0033041E" w:rsidRPr="00C06F17" w:rsidRDefault="0033041E" w:rsidP="0033041E">
                            <w:pPr>
                              <w:jc w:val="center"/>
                              <w:rPr>
                                <w:rFonts w:cs="Arial"/>
                                <w:sz w:val="20"/>
                              </w:rPr>
                            </w:pPr>
                            <w:r w:rsidRPr="00C06F17">
                              <w:rPr>
                                <w:rFonts w:cs="Arial"/>
                                <w:sz w:val="20"/>
                              </w:rPr>
                              <w:t>353 youths included in the study cohort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24548" id="Text Box 36" o:spid="_x0000_s1033" type="#_x0000_t202" style="position:absolute;left:0;text-align:left;margin-left:90.25pt;margin-top:2.8pt;width:269.75pt;height:2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" fillcolor="window" strokeweight=".5pt">
                <v:textbox>
                  <w:txbxContent>
                    <w:p w:rsidR="0033041E" w:rsidRPr="00C06F17" w:rsidRDefault="0033041E" w:rsidP="0033041E">
                      <w:pPr>
                        <w:jc w:val="center"/>
                        <w:rPr>
                          <w:rFonts w:cs="Arial"/>
                          <w:sz w:val="20"/>
                        </w:rPr>
                      </w:pPr>
                      <w:r w:rsidRPr="00C06F17">
                        <w:rPr>
                          <w:rFonts w:cs="Arial"/>
                          <w:sz w:val="20"/>
                        </w:rPr>
                        <w:t>353 youths included in the study cohort</w:t>
                      </w:r>
                    </w:p>
                  </w:txbxContent>
                </v:textbox>
              </v:shape>
            </w:pict>
          </mc:Fallback>
        </mc:AlternateContent>
      </w:r>
    </w:p>
    <w:p w:rsidR="0033041E" w:rsidRDefault="0033041E" w:rsidP="0033041E">
      <w:pPr>
        <w:jc w:val="both"/>
        <w:rPr>
          <w:rFonts w:ascii="Arial" w:hAnsi="Arial" w:cs="Arial"/>
          <w:b/>
        </w:rPr>
      </w:pPr>
    </w:p>
    <w:p w:rsidR="00437D95" w:rsidRPr="005C2F3A" w:rsidRDefault="00437D95" w:rsidP="003A3AAA">
      <w:pPr>
        <w:pStyle w:val="Heading2"/>
        <w:rPr>
          <w:rFonts w:asciiTheme="minorHAnsi" w:hAnsiTheme="minorHAnsi"/>
        </w:rPr>
      </w:pPr>
      <w:bookmarkStart w:id="5" w:name="_Toc55569849"/>
      <w:r w:rsidRPr="005C2F3A">
        <w:rPr>
          <w:rFonts w:asciiTheme="minorHAnsi" w:hAnsiTheme="minorHAnsi"/>
        </w:rPr>
        <w:t>Data</w:t>
      </w:r>
      <w:bookmarkEnd w:id="5"/>
      <w:r w:rsidRPr="005C2F3A">
        <w:rPr>
          <w:rFonts w:asciiTheme="minorHAnsi" w:hAnsiTheme="minorHAnsi"/>
        </w:rPr>
        <w:t xml:space="preserve"> </w:t>
      </w:r>
    </w:p>
    <w:p w:rsidR="00437D95" w:rsidRPr="005C2F3A" w:rsidRDefault="00437D95" w:rsidP="00A42879">
      <w:pPr>
        <w:spacing w:line="276" w:lineRule="auto"/>
        <w:rPr>
          <w:rFonts w:asciiTheme="minorHAnsi" w:hAnsiTheme="minorHAnsi" w:cs="Arial"/>
          <w:b/>
        </w:rPr>
      </w:pPr>
      <w:r w:rsidRPr="005C2F3A">
        <w:rPr>
          <w:rFonts w:asciiTheme="minorHAnsi" w:hAnsiTheme="minorHAnsi" w:cs="Arial"/>
        </w:rPr>
        <w:t xml:space="preserve">The data used in this study was extracted from Integrated Offender Management System (IOMS). Discharge data was obtained for all offenders discharged from NT youth detention centres from 01 January 2015 to 31 December 2019. Adult prison reception data was </w:t>
      </w:r>
      <w:r w:rsidRPr="005C2F3A">
        <w:rPr>
          <w:rFonts w:asciiTheme="minorHAnsi" w:hAnsiTheme="minorHAnsi" w:cs="Arial"/>
        </w:rPr>
        <w:lastRenderedPageBreak/>
        <w:t xml:space="preserve">extracted on 21 September 2020. Thus the follow-up period ranges from ten months (for the last youth released in November 2019) up to five years (for youths released in 2015). The cohort’s demographic data and corrections history were also extracted from IOMS. </w:t>
      </w:r>
    </w:p>
    <w:p w:rsidR="00437D95" w:rsidRPr="0032339C" w:rsidRDefault="00437D95" w:rsidP="003A3AAA">
      <w:pPr>
        <w:pStyle w:val="Heading2"/>
      </w:pPr>
      <w:bookmarkStart w:id="6" w:name="_Toc55569850"/>
      <w:r w:rsidRPr="0032339C">
        <w:t>Analy</w:t>
      </w:r>
      <w:r>
        <w:t>tical methods</w:t>
      </w:r>
      <w:bookmarkEnd w:id="6"/>
      <w:r w:rsidRPr="0032339C">
        <w:t xml:space="preserve"> </w:t>
      </w:r>
    </w:p>
    <w:p w:rsidR="00437D95" w:rsidRPr="004F39DD" w:rsidRDefault="00437D95" w:rsidP="00B02DC0">
      <w:pPr>
        <w:spacing w:line="276" w:lineRule="auto"/>
        <w:rPr>
          <w:rFonts w:asciiTheme="minorHAnsi" w:hAnsiTheme="minorHAnsi" w:cs="Arial"/>
        </w:rPr>
      </w:pPr>
      <w:r w:rsidRPr="004F39DD">
        <w:rPr>
          <w:rFonts w:asciiTheme="minorHAnsi" w:hAnsiTheme="minorHAnsi" w:cs="Arial"/>
        </w:rPr>
        <w:t xml:space="preserve">The traditional recidivism calculation examines a cohort of individuals meeting specific criteria and then determines the percentage of those individuals experiencing the event of interest within some specified time frame, such as two years. Although simple to implement, this methodology is not adequate to answer our research questions. In addition, our follow-up time is not the same for everyone in the cohort, which results in some censored data. We used survival analysis because the outcome of interest is the time from last discharge from youth detention until first adult prison reception. It also considers a key analytical problem in our dataset called censoring – that is we have some information about the youth’s survival time (i.e. how long it has been since they were discharged), but we don’t know the full survival time because we stopped the study before all individuals were received into adult prison. The Kaplan-Meier estimator was used to measure our recidivism indicator, the proportion of the study group received in adult prison within a certain amount of time after discharge from youth detention. The log-rank test was used to compare the recidivism rates between groups of offenders. A Cox proportional hazards regression model (Cox, 1972) was used to investigate the association between youth characteristics and recidivism. We hypothesise that gender, Aboriginal status, number of </w:t>
      </w:r>
      <w:r w:rsidR="003D26B9" w:rsidRPr="00B8196A">
        <w:rPr>
          <w:rFonts w:asciiTheme="minorHAnsi" w:hAnsiTheme="minorHAnsi" w:cs="Arial"/>
        </w:rPr>
        <w:t xml:space="preserve">correctional episodes involving </w:t>
      </w:r>
      <w:r w:rsidR="003D26B9">
        <w:rPr>
          <w:rFonts w:asciiTheme="minorHAnsi" w:hAnsiTheme="minorHAnsi" w:cs="Arial"/>
        </w:rPr>
        <w:t xml:space="preserve">youth </w:t>
      </w:r>
      <w:r w:rsidR="003D26B9" w:rsidRPr="00B8196A">
        <w:rPr>
          <w:rFonts w:asciiTheme="minorHAnsi" w:hAnsiTheme="minorHAnsi" w:cs="Arial"/>
        </w:rPr>
        <w:t>detention</w:t>
      </w:r>
      <w:r w:rsidRPr="004F39DD">
        <w:rPr>
          <w:rFonts w:asciiTheme="minorHAnsi" w:hAnsiTheme="minorHAnsi" w:cs="Arial"/>
        </w:rPr>
        <w:t xml:space="preserve">, most serious offence committed as youth, and age at first youth detention are the predictors of recidivism. </w:t>
      </w:r>
    </w:p>
    <w:p w:rsidR="00437D95" w:rsidRPr="0032339C" w:rsidRDefault="00437D95" w:rsidP="00B02DC0">
      <w:pPr>
        <w:pStyle w:val="Heading2"/>
        <w:spacing w:line="276" w:lineRule="auto"/>
      </w:pPr>
      <w:bookmarkStart w:id="7" w:name="_Toc55569851"/>
      <w:r w:rsidRPr="0032339C">
        <w:t>Limitation</w:t>
      </w:r>
      <w:r>
        <w:t>s</w:t>
      </w:r>
      <w:r w:rsidRPr="0032339C">
        <w:t xml:space="preserve"> of the study</w:t>
      </w:r>
      <w:bookmarkEnd w:id="7"/>
    </w:p>
    <w:p w:rsidR="00437D95" w:rsidRPr="00BA4971" w:rsidRDefault="00437D95" w:rsidP="00B02DC0">
      <w:pPr>
        <w:spacing w:line="276" w:lineRule="auto"/>
        <w:rPr>
          <w:rFonts w:asciiTheme="minorHAnsi" w:hAnsiTheme="minorHAnsi" w:cs="Arial"/>
        </w:rPr>
      </w:pPr>
      <w:r w:rsidRPr="00BA4971">
        <w:rPr>
          <w:rFonts w:asciiTheme="minorHAnsi" w:hAnsiTheme="minorHAnsi" w:cs="Arial"/>
        </w:rPr>
        <w:t xml:space="preserve">Childhood variables such as any childhood protection order, out of home placement, alcohol and drug abuse, and family dysfunction were not included in this study. Although potential predictors of youth offending and recidivism, these data are not readily available for this study.  </w:t>
      </w:r>
    </w:p>
    <w:p w:rsidR="00437D95" w:rsidRDefault="00437D95" w:rsidP="00437D95">
      <w:pPr>
        <w:rPr>
          <w:rFonts w:ascii="Arial" w:hAnsi="Arial" w:cs="Arial"/>
          <w:b/>
        </w:rPr>
      </w:pPr>
      <w:r>
        <w:rPr>
          <w:rFonts w:ascii="Arial" w:hAnsi="Arial" w:cs="Arial"/>
          <w:b/>
        </w:rPr>
        <w:br w:type="page"/>
      </w:r>
    </w:p>
    <w:p w:rsidR="00437D95" w:rsidRPr="0032339C" w:rsidRDefault="00437D95" w:rsidP="00DD054B">
      <w:pPr>
        <w:pStyle w:val="Heading1"/>
      </w:pPr>
      <w:bookmarkStart w:id="8" w:name="_Toc55569852"/>
      <w:r w:rsidRPr="0032339C">
        <w:lastRenderedPageBreak/>
        <w:t>Results</w:t>
      </w:r>
      <w:bookmarkEnd w:id="8"/>
    </w:p>
    <w:p w:rsidR="00437D95" w:rsidRPr="0032339C" w:rsidRDefault="00437D95" w:rsidP="00DD054B">
      <w:pPr>
        <w:pStyle w:val="Heading2"/>
      </w:pPr>
      <w:bookmarkStart w:id="9" w:name="_Toc55569853"/>
      <w:r w:rsidRPr="0032339C">
        <w:t>Descriptive statistics</w:t>
      </w:r>
      <w:bookmarkEnd w:id="9"/>
    </w:p>
    <w:p w:rsidR="00437D95" w:rsidRPr="00A42879" w:rsidRDefault="00437D95" w:rsidP="00A42879">
      <w:pPr>
        <w:spacing w:line="276" w:lineRule="auto"/>
        <w:rPr>
          <w:rFonts w:asciiTheme="minorHAnsi" w:hAnsiTheme="minorHAnsi" w:cs="Arial"/>
        </w:rPr>
      </w:pPr>
      <w:r w:rsidRPr="00A42879">
        <w:rPr>
          <w:rFonts w:asciiTheme="minorHAnsi" w:hAnsiTheme="minorHAnsi" w:cs="Arial"/>
        </w:rPr>
        <w:t>The baseline characteristics of the youth offenders in the study population are summarized in Table 1. Note that these may differ from the characteristics of all youth detainees due to the selection process described above.</w:t>
      </w:r>
      <w:r w:rsidR="00E34066" w:rsidRPr="00A42879">
        <w:rPr>
          <w:rFonts w:asciiTheme="minorHAnsi" w:hAnsiTheme="minorHAnsi" w:cs="Arial"/>
        </w:rPr>
        <w:t xml:space="preserve"> Ninety-five per cent of the offenders in the study were Aboriginal, and 85 per cent were male. The median age at first </w:t>
      </w:r>
      <w:r w:rsidR="00E26E6E">
        <w:rPr>
          <w:rFonts w:asciiTheme="minorHAnsi" w:hAnsiTheme="minorHAnsi" w:cs="Arial"/>
        </w:rPr>
        <w:t xml:space="preserve">youth </w:t>
      </w:r>
      <w:r w:rsidR="00E34066" w:rsidRPr="00A42879">
        <w:rPr>
          <w:rFonts w:asciiTheme="minorHAnsi" w:hAnsiTheme="minorHAnsi" w:cs="Arial"/>
        </w:rPr>
        <w:t>detention is 15 while the median age at last youth discharge is 17. The median number of correctional episodes involving youth detention is two.</w:t>
      </w:r>
    </w:p>
    <w:p w:rsidR="00437D95" w:rsidRPr="00A42879" w:rsidRDefault="00437D95" w:rsidP="00A42879">
      <w:pPr>
        <w:spacing w:line="276" w:lineRule="auto"/>
        <w:rPr>
          <w:rFonts w:asciiTheme="minorHAnsi" w:hAnsiTheme="minorHAnsi" w:cs="Arial"/>
        </w:rPr>
      </w:pPr>
      <w:r w:rsidRPr="00A42879">
        <w:rPr>
          <w:rFonts w:asciiTheme="minorHAnsi" w:hAnsiTheme="minorHAnsi" w:cs="Arial"/>
        </w:rPr>
        <w:t xml:space="preserve">Table 1. Baseline characteristics of the youth offenders </w:t>
      </w:r>
    </w:p>
    <w:tbl>
      <w:tblPr>
        <w:tblStyle w:val="NTGtable1"/>
        <w:tblW w:w="0" w:type="auto"/>
        <w:tblLook w:val="04A0" w:firstRow="1" w:lastRow="0" w:firstColumn="1" w:lastColumn="0" w:noHBand="0" w:noVBand="1"/>
      </w:tblPr>
      <w:tblGrid>
        <w:gridCol w:w="5098"/>
        <w:gridCol w:w="3918"/>
      </w:tblGrid>
      <w:tr w:rsidR="00E34066" w:rsidRPr="00A42879" w:rsidTr="00E26E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b w:val="0"/>
              </w:rPr>
              <w:t>Youth characteristics</w:t>
            </w:r>
          </w:p>
        </w:tc>
        <w:tc>
          <w:tcPr>
            <w:tcW w:w="3918" w:type="dxa"/>
            <w:vAlign w:val="top"/>
          </w:tcPr>
          <w:p w:rsidR="00E34066" w:rsidRPr="00A42879" w:rsidRDefault="00E34066" w:rsidP="00A42879">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A42879">
              <w:rPr>
                <w:rFonts w:asciiTheme="minorHAnsi" w:hAnsiTheme="minorHAnsi" w:cs="Arial"/>
                <w:b w:val="0"/>
              </w:rPr>
              <w:t>Result</w:t>
            </w:r>
          </w:p>
        </w:tc>
      </w:tr>
      <w:tr w:rsidR="00E34066" w:rsidRPr="00A42879" w:rsidTr="00E26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 xml:space="preserve">Indigenous status </w:t>
            </w:r>
          </w:p>
        </w:tc>
        <w:tc>
          <w:tcPr>
            <w:tcW w:w="3918" w:type="dxa"/>
            <w:vAlign w:val="top"/>
          </w:tcPr>
          <w:p w:rsidR="00E34066" w:rsidRPr="00A42879" w:rsidRDefault="00E34066" w:rsidP="00A428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p>
        </w:tc>
      </w:tr>
      <w:tr w:rsidR="00E34066" w:rsidRPr="00A42879" w:rsidTr="00E26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 xml:space="preserve">     Non-Aboriginal</w:t>
            </w:r>
          </w:p>
        </w:tc>
        <w:tc>
          <w:tcPr>
            <w:tcW w:w="3918" w:type="dxa"/>
            <w:vAlign w:val="top"/>
          </w:tcPr>
          <w:p w:rsidR="00E34066" w:rsidRPr="00A42879" w:rsidRDefault="00E34066" w:rsidP="00A42879">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A42879">
              <w:rPr>
                <w:rFonts w:asciiTheme="minorHAnsi" w:hAnsiTheme="minorHAnsi" w:cs="Arial"/>
              </w:rPr>
              <w:t>16 (4.53%)</w:t>
            </w:r>
          </w:p>
        </w:tc>
      </w:tr>
      <w:tr w:rsidR="00E34066" w:rsidRPr="00A42879" w:rsidTr="00E26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 xml:space="preserve">     Aboriginal</w:t>
            </w:r>
          </w:p>
        </w:tc>
        <w:tc>
          <w:tcPr>
            <w:tcW w:w="3918" w:type="dxa"/>
            <w:vAlign w:val="top"/>
          </w:tcPr>
          <w:p w:rsidR="00E34066" w:rsidRPr="00A42879" w:rsidRDefault="00E34066" w:rsidP="00A428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42879">
              <w:rPr>
                <w:rFonts w:asciiTheme="minorHAnsi" w:hAnsiTheme="minorHAnsi" w:cs="Arial"/>
              </w:rPr>
              <w:t>337 (95.47%</w:t>
            </w:r>
          </w:p>
        </w:tc>
      </w:tr>
      <w:tr w:rsidR="00E34066" w:rsidRPr="00A42879" w:rsidTr="00E26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 xml:space="preserve">Gender </w:t>
            </w:r>
          </w:p>
        </w:tc>
        <w:tc>
          <w:tcPr>
            <w:tcW w:w="3918" w:type="dxa"/>
            <w:vAlign w:val="top"/>
          </w:tcPr>
          <w:p w:rsidR="00E34066" w:rsidRPr="00A42879" w:rsidRDefault="00E34066" w:rsidP="00A42879">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p>
        </w:tc>
      </w:tr>
      <w:tr w:rsidR="00E34066" w:rsidRPr="00A42879" w:rsidTr="00E26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 xml:space="preserve">     Female </w:t>
            </w:r>
          </w:p>
        </w:tc>
        <w:tc>
          <w:tcPr>
            <w:tcW w:w="3918" w:type="dxa"/>
            <w:vAlign w:val="top"/>
          </w:tcPr>
          <w:p w:rsidR="00E34066" w:rsidRPr="00A42879" w:rsidRDefault="00E34066" w:rsidP="00A428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42879">
              <w:rPr>
                <w:rFonts w:asciiTheme="minorHAnsi" w:hAnsiTheme="minorHAnsi" w:cs="Arial"/>
              </w:rPr>
              <w:t>53 (15.01%)</w:t>
            </w:r>
          </w:p>
        </w:tc>
      </w:tr>
      <w:tr w:rsidR="00E34066" w:rsidRPr="00A42879" w:rsidTr="00E26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 xml:space="preserve">     Male</w:t>
            </w:r>
          </w:p>
        </w:tc>
        <w:tc>
          <w:tcPr>
            <w:tcW w:w="3918" w:type="dxa"/>
            <w:vAlign w:val="top"/>
          </w:tcPr>
          <w:p w:rsidR="00E34066" w:rsidRPr="00A42879" w:rsidRDefault="00E34066" w:rsidP="00A42879">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A42879">
              <w:rPr>
                <w:rFonts w:asciiTheme="minorHAnsi" w:hAnsiTheme="minorHAnsi" w:cs="Arial"/>
              </w:rPr>
              <w:t>300 (84.99%)</w:t>
            </w:r>
          </w:p>
        </w:tc>
      </w:tr>
      <w:tr w:rsidR="00E34066" w:rsidRPr="00A42879" w:rsidTr="00E26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 xml:space="preserve">Median age at first </w:t>
            </w:r>
            <w:r w:rsidR="00E26E6E">
              <w:rPr>
                <w:rFonts w:asciiTheme="minorHAnsi" w:hAnsiTheme="minorHAnsi" w:cs="Arial"/>
              </w:rPr>
              <w:t xml:space="preserve">youth </w:t>
            </w:r>
            <w:r w:rsidRPr="00A42879">
              <w:rPr>
                <w:rFonts w:asciiTheme="minorHAnsi" w:hAnsiTheme="minorHAnsi" w:cs="Arial"/>
              </w:rPr>
              <w:t xml:space="preserve">detention </w:t>
            </w:r>
          </w:p>
        </w:tc>
        <w:tc>
          <w:tcPr>
            <w:tcW w:w="3918" w:type="dxa"/>
            <w:vAlign w:val="top"/>
          </w:tcPr>
          <w:p w:rsidR="00E34066" w:rsidRPr="00A42879" w:rsidRDefault="00E34066" w:rsidP="00A428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42879">
              <w:rPr>
                <w:rFonts w:asciiTheme="minorHAnsi" w:hAnsiTheme="minorHAnsi" w:cs="Arial"/>
              </w:rPr>
              <w:t>15 (14 – 17)</w:t>
            </w:r>
          </w:p>
        </w:tc>
      </w:tr>
      <w:tr w:rsidR="00E34066" w:rsidRPr="00A42879" w:rsidTr="00E26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Median age at last discharge</w:t>
            </w:r>
            <w:r w:rsidR="00E26E6E">
              <w:rPr>
                <w:rFonts w:asciiTheme="minorHAnsi" w:hAnsiTheme="minorHAnsi" w:cs="Arial"/>
              </w:rPr>
              <w:t xml:space="preserve"> from youth detention</w:t>
            </w:r>
          </w:p>
        </w:tc>
        <w:tc>
          <w:tcPr>
            <w:tcW w:w="3918" w:type="dxa"/>
            <w:vAlign w:val="top"/>
          </w:tcPr>
          <w:p w:rsidR="00E34066" w:rsidRPr="00A42879" w:rsidRDefault="00E34066" w:rsidP="00A42879">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A42879">
              <w:rPr>
                <w:rFonts w:asciiTheme="minorHAnsi" w:hAnsiTheme="minorHAnsi" w:cs="Arial"/>
              </w:rPr>
              <w:t>17 (16 – 17)</w:t>
            </w:r>
          </w:p>
        </w:tc>
      </w:tr>
      <w:tr w:rsidR="00E34066" w:rsidRPr="00A42879" w:rsidTr="00E26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Median number of correctional episodes involving youth detention</w:t>
            </w:r>
          </w:p>
        </w:tc>
        <w:tc>
          <w:tcPr>
            <w:tcW w:w="3918" w:type="dxa"/>
            <w:vAlign w:val="top"/>
          </w:tcPr>
          <w:p w:rsidR="00E34066" w:rsidRPr="00A42879" w:rsidRDefault="00E34066" w:rsidP="00A4287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A42879">
              <w:rPr>
                <w:rFonts w:asciiTheme="minorHAnsi" w:hAnsiTheme="minorHAnsi" w:cs="Arial"/>
              </w:rPr>
              <w:t>2 (1 – 3)</w:t>
            </w:r>
          </w:p>
        </w:tc>
      </w:tr>
      <w:tr w:rsidR="00E34066" w:rsidRPr="00A42879" w:rsidTr="00E26E6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vAlign w:val="top"/>
          </w:tcPr>
          <w:p w:rsidR="00E34066" w:rsidRPr="00A42879" w:rsidRDefault="00E34066" w:rsidP="00A42879">
            <w:pPr>
              <w:spacing w:line="276" w:lineRule="auto"/>
              <w:rPr>
                <w:rFonts w:asciiTheme="minorHAnsi" w:hAnsiTheme="minorHAnsi" w:cs="Arial"/>
              </w:rPr>
            </w:pPr>
            <w:r w:rsidRPr="00A42879">
              <w:rPr>
                <w:rFonts w:asciiTheme="minorHAnsi" w:hAnsiTheme="minorHAnsi" w:cs="Arial"/>
              </w:rPr>
              <w:t>Total</w:t>
            </w:r>
          </w:p>
        </w:tc>
        <w:tc>
          <w:tcPr>
            <w:tcW w:w="3918" w:type="dxa"/>
            <w:vAlign w:val="top"/>
          </w:tcPr>
          <w:p w:rsidR="00E34066" w:rsidRPr="00A42879" w:rsidRDefault="00E34066" w:rsidP="00A42879">
            <w:pPr>
              <w:spacing w:line="276" w:lineRule="auto"/>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rPr>
            </w:pPr>
            <w:r w:rsidRPr="00A42879">
              <w:rPr>
                <w:rFonts w:asciiTheme="minorHAnsi" w:hAnsiTheme="minorHAnsi" w:cs="Arial"/>
              </w:rPr>
              <w:t>353</w:t>
            </w:r>
          </w:p>
        </w:tc>
      </w:tr>
    </w:tbl>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Default="00E34066" w:rsidP="00E34066">
      <w:pPr>
        <w:spacing w:line="276" w:lineRule="auto"/>
        <w:rPr>
          <w:rFonts w:asciiTheme="minorHAnsi" w:hAnsiTheme="minorHAnsi" w:cs="Arial"/>
        </w:rPr>
      </w:pPr>
    </w:p>
    <w:p w:rsidR="00E34066" w:rsidRPr="00B02DC0" w:rsidRDefault="00437D95" w:rsidP="003D26B9">
      <w:pPr>
        <w:spacing w:line="276" w:lineRule="auto"/>
        <w:rPr>
          <w:rFonts w:asciiTheme="minorHAnsi" w:hAnsiTheme="minorHAnsi" w:cs="Arial"/>
        </w:rPr>
      </w:pPr>
      <w:r w:rsidRPr="00B02DC0">
        <w:rPr>
          <w:rFonts w:asciiTheme="minorHAnsi" w:hAnsiTheme="minorHAnsi" w:cs="Arial"/>
        </w:rPr>
        <w:lastRenderedPageBreak/>
        <w:t xml:space="preserve">Although both genders have the same median age at first </w:t>
      </w:r>
      <w:r w:rsidR="005F741D" w:rsidRPr="00B02DC0">
        <w:rPr>
          <w:rFonts w:asciiTheme="minorHAnsi" w:hAnsiTheme="minorHAnsi" w:cs="Arial"/>
        </w:rPr>
        <w:t xml:space="preserve">youth </w:t>
      </w:r>
      <w:r w:rsidRPr="00B02DC0">
        <w:rPr>
          <w:rFonts w:asciiTheme="minorHAnsi" w:hAnsiTheme="minorHAnsi" w:cs="Arial"/>
        </w:rPr>
        <w:t xml:space="preserve">detention, Figure 2 shows that the shape of age distribution differs between genders. The curve for females is bell shaped with a peak corresponding to the median age of 15 while the curve for males is an increasing step chart with a peak at 17.  </w:t>
      </w:r>
    </w:p>
    <w:p w:rsidR="00437D95" w:rsidRPr="0032339C" w:rsidRDefault="00437D95" w:rsidP="003D26B9">
      <w:pPr>
        <w:spacing w:line="276" w:lineRule="auto"/>
        <w:rPr>
          <w:rFonts w:ascii="Arial" w:hAnsi="Arial" w:cs="Arial"/>
          <w:b/>
        </w:rPr>
      </w:pPr>
      <w:r w:rsidRPr="00B02DC0">
        <w:rPr>
          <w:rFonts w:asciiTheme="minorHAnsi" w:hAnsiTheme="minorHAnsi" w:cs="Arial"/>
          <w:lang w:val="en-US"/>
        </w:rPr>
        <w:t xml:space="preserve">Figure 2. Distribution of youth offenders by gender and age at first </w:t>
      </w:r>
      <w:r w:rsidR="005F741D" w:rsidRPr="00B02DC0">
        <w:rPr>
          <w:rFonts w:asciiTheme="minorHAnsi" w:hAnsiTheme="minorHAnsi" w:cs="Arial"/>
          <w:lang w:val="en-US"/>
        </w:rPr>
        <w:t xml:space="preserve">youth </w:t>
      </w:r>
      <w:r w:rsidRPr="00B02DC0">
        <w:rPr>
          <w:rFonts w:asciiTheme="minorHAnsi" w:hAnsiTheme="minorHAnsi" w:cs="Arial"/>
          <w:lang w:val="en-US"/>
        </w:rPr>
        <w:t>detention</w:t>
      </w:r>
      <w:r w:rsidRPr="0032339C">
        <w:rPr>
          <w:rFonts w:ascii="Arial" w:hAnsi="Arial" w:cs="Arial"/>
          <w:lang w:val="en-US"/>
        </w:rPr>
        <w:t xml:space="preserve"> </w:t>
      </w:r>
    </w:p>
    <w:p w:rsidR="00437D95" w:rsidRPr="00E26E6E" w:rsidRDefault="00C65D24" w:rsidP="00AD0C4C">
      <w:pPr>
        <w:spacing w:line="276" w:lineRule="auto"/>
        <w:rPr>
          <w:rFonts w:asciiTheme="minorHAnsi" w:hAnsiTheme="minorHAnsi" w:cs="Arial"/>
        </w:rPr>
      </w:pPr>
      <w:r>
        <w:rPr>
          <w:rFonts w:asciiTheme="minorHAnsi" w:hAnsiTheme="minorHAnsi" w:cs="Arial"/>
          <w:noProof/>
          <w:lang w:eastAsia="en-AU"/>
        </w:rPr>
        <w:drawing>
          <wp:inline distT="0" distB="0" distL="0" distR="0" wp14:anchorId="16F2FC17">
            <wp:extent cx="5901690" cy="3176270"/>
            <wp:effectExtent l="0" t="0" r="381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1690" cy="3176270"/>
                    </a:xfrm>
                    <a:prstGeom prst="rect">
                      <a:avLst/>
                    </a:prstGeom>
                    <a:noFill/>
                  </pic:spPr>
                </pic:pic>
              </a:graphicData>
            </a:graphic>
          </wp:inline>
        </w:drawing>
      </w:r>
      <w:r w:rsidR="00E26E6E">
        <w:rPr>
          <w:rFonts w:asciiTheme="minorHAnsi" w:hAnsiTheme="minorHAnsi" w:cs="Arial"/>
        </w:rPr>
        <w:t xml:space="preserve">We examined the </w:t>
      </w:r>
      <w:r w:rsidR="00683B57">
        <w:rPr>
          <w:rFonts w:asciiTheme="minorHAnsi" w:hAnsiTheme="minorHAnsi" w:cs="Arial"/>
        </w:rPr>
        <w:t>youths</w:t>
      </w:r>
      <w:r w:rsidR="001050B1">
        <w:rPr>
          <w:rFonts w:asciiTheme="minorHAnsi" w:hAnsiTheme="minorHAnsi" w:cs="Arial"/>
        </w:rPr>
        <w:t>’</w:t>
      </w:r>
      <w:r w:rsidR="00683B57">
        <w:rPr>
          <w:rFonts w:asciiTheme="minorHAnsi" w:hAnsiTheme="minorHAnsi" w:cs="Arial"/>
        </w:rPr>
        <w:t xml:space="preserve"> </w:t>
      </w:r>
      <w:r w:rsidR="00E26E6E">
        <w:rPr>
          <w:rFonts w:asciiTheme="minorHAnsi" w:hAnsiTheme="minorHAnsi" w:cs="Arial"/>
        </w:rPr>
        <w:t xml:space="preserve">entire </w:t>
      </w:r>
      <w:r w:rsidR="00322957">
        <w:rPr>
          <w:rFonts w:asciiTheme="minorHAnsi" w:hAnsiTheme="minorHAnsi" w:cs="Arial"/>
        </w:rPr>
        <w:t>correctional</w:t>
      </w:r>
      <w:r w:rsidR="00E26E6E">
        <w:rPr>
          <w:rFonts w:asciiTheme="minorHAnsi" w:hAnsiTheme="minorHAnsi" w:cs="Arial"/>
        </w:rPr>
        <w:t xml:space="preserve"> history </w:t>
      </w:r>
      <w:r w:rsidR="00322957">
        <w:rPr>
          <w:rFonts w:asciiTheme="minorHAnsi" w:hAnsiTheme="minorHAnsi" w:cs="Arial"/>
        </w:rPr>
        <w:t xml:space="preserve">and checked the </w:t>
      </w:r>
      <w:r w:rsidR="00FA6D8F">
        <w:rPr>
          <w:rFonts w:asciiTheme="minorHAnsi" w:hAnsiTheme="minorHAnsi" w:cs="Arial"/>
        </w:rPr>
        <w:t xml:space="preserve">most serious offence (MSO) for </w:t>
      </w:r>
      <w:r w:rsidR="001050B1">
        <w:rPr>
          <w:rFonts w:asciiTheme="minorHAnsi" w:hAnsiTheme="minorHAnsi" w:cs="Arial"/>
        </w:rPr>
        <w:t xml:space="preserve">all </w:t>
      </w:r>
      <w:r w:rsidR="00FA6D8F" w:rsidRPr="00E26E6E">
        <w:rPr>
          <w:rFonts w:asciiTheme="minorHAnsi" w:hAnsiTheme="minorHAnsi" w:cs="Arial"/>
        </w:rPr>
        <w:t>correctional episodes involving youth detention</w:t>
      </w:r>
      <w:r w:rsidR="001050B1">
        <w:rPr>
          <w:rFonts w:asciiTheme="minorHAnsi" w:hAnsiTheme="minorHAnsi" w:cs="Arial"/>
        </w:rPr>
        <w:t xml:space="preserve">. </w:t>
      </w:r>
      <w:r w:rsidR="00683B57">
        <w:rPr>
          <w:rFonts w:asciiTheme="minorHAnsi" w:hAnsiTheme="minorHAnsi" w:cs="Arial"/>
        </w:rPr>
        <w:t xml:space="preserve">We are interested </w:t>
      </w:r>
      <w:r w:rsidR="009A67F3">
        <w:rPr>
          <w:rFonts w:asciiTheme="minorHAnsi" w:hAnsiTheme="minorHAnsi" w:cs="Arial"/>
        </w:rPr>
        <w:t>in</w:t>
      </w:r>
      <w:r w:rsidR="00683B57">
        <w:rPr>
          <w:rFonts w:asciiTheme="minorHAnsi" w:hAnsiTheme="minorHAnsi" w:cs="Arial"/>
        </w:rPr>
        <w:t xml:space="preserve"> the MSO at first </w:t>
      </w:r>
      <w:r w:rsidR="009A67F3">
        <w:rPr>
          <w:rFonts w:asciiTheme="minorHAnsi" w:hAnsiTheme="minorHAnsi" w:cs="Arial"/>
        </w:rPr>
        <w:t>correctional episode</w:t>
      </w:r>
      <w:r w:rsidR="00683B57" w:rsidRPr="00E26E6E">
        <w:rPr>
          <w:rFonts w:asciiTheme="minorHAnsi" w:hAnsiTheme="minorHAnsi" w:cs="Arial"/>
        </w:rPr>
        <w:t xml:space="preserve"> involving youth detention</w:t>
      </w:r>
      <w:r w:rsidR="00683B57">
        <w:rPr>
          <w:rFonts w:asciiTheme="minorHAnsi" w:hAnsiTheme="minorHAnsi" w:cs="Arial"/>
        </w:rPr>
        <w:t xml:space="preserve"> and </w:t>
      </w:r>
      <w:r w:rsidR="00BB6101">
        <w:rPr>
          <w:rFonts w:asciiTheme="minorHAnsi" w:hAnsiTheme="minorHAnsi" w:cs="Arial"/>
        </w:rPr>
        <w:t>in</w:t>
      </w:r>
      <w:r w:rsidR="00683B57">
        <w:rPr>
          <w:rFonts w:asciiTheme="minorHAnsi" w:hAnsiTheme="minorHAnsi" w:cs="Arial"/>
        </w:rPr>
        <w:t xml:space="preserve"> the </w:t>
      </w:r>
      <w:r w:rsidR="009A67F3">
        <w:rPr>
          <w:rFonts w:asciiTheme="minorHAnsi" w:hAnsiTheme="minorHAnsi" w:cs="Arial"/>
        </w:rPr>
        <w:t xml:space="preserve">most serious of all MSOs </w:t>
      </w:r>
      <w:r w:rsidR="0082758D">
        <w:rPr>
          <w:rFonts w:asciiTheme="minorHAnsi" w:hAnsiTheme="minorHAnsi" w:cs="Arial"/>
        </w:rPr>
        <w:t>in</w:t>
      </w:r>
      <w:r w:rsidR="009A67F3" w:rsidRPr="009A67F3">
        <w:rPr>
          <w:rFonts w:asciiTheme="minorHAnsi" w:hAnsiTheme="minorHAnsi" w:cs="Arial"/>
        </w:rPr>
        <w:t xml:space="preserve"> </w:t>
      </w:r>
      <w:r w:rsidR="009A67F3">
        <w:rPr>
          <w:rFonts w:asciiTheme="minorHAnsi" w:hAnsiTheme="minorHAnsi" w:cs="Arial"/>
        </w:rPr>
        <w:t xml:space="preserve">the youth’s entire </w:t>
      </w:r>
      <w:r w:rsidR="001050B1">
        <w:rPr>
          <w:rFonts w:asciiTheme="minorHAnsi" w:hAnsiTheme="minorHAnsi" w:cs="Arial"/>
        </w:rPr>
        <w:t>correctional</w:t>
      </w:r>
      <w:r w:rsidR="009A67F3">
        <w:rPr>
          <w:rFonts w:asciiTheme="minorHAnsi" w:hAnsiTheme="minorHAnsi" w:cs="Arial"/>
        </w:rPr>
        <w:t xml:space="preserve"> history</w:t>
      </w:r>
      <w:r w:rsidR="00BB6101">
        <w:rPr>
          <w:rFonts w:asciiTheme="minorHAnsi" w:hAnsiTheme="minorHAnsi" w:cs="Arial"/>
        </w:rPr>
        <w:t xml:space="preserve"> or the most serious offence committed as youth. </w:t>
      </w:r>
      <w:r w:rsidR="00437D95" w:rsidRPr="00E26E6E">
        <w:rPr>
          <w:rFonts w:asciiTheme="minorHAnsi" w:hAnsiTheme="minorHAnsi" w:cs="Arial"/>
        </w:rPr>
        <w:t xml:space="preserve">For this study, we grouped the </w:t>
      </w:r>
      <w:r w:rsidR="009A67F3">
        <w:rPr>
          <w:rFonts w:asciiTheme="minorHAnsi" w:hAnsiTheme="minorHAnsi" w:cs="Arial"/>
        </w:rPr>
        <w:t>MSOs</w:t>
      </w:r>
      <w:r w:rsidR="00437D95" w:rsidRPr="00E26E6E">
        <w:rPr>
          <w:rFonts w:asciiTheme="minorHAnsi" w:hAnsiTheme="minorHAnsi" w:cs="Arial"/>
        </w:rPr>
        <w:t xml:space="preserve"> into three main categories: </w:t>
      </w:r>
    </w:p>
    <w:p w:rsidR="00437D95" w:rsidRPr="00E26E6E" w:rsidRDefault="00437D95" w:rsidP="00AD0C4C">
      <w:pPr>
        <w:pStyle w:val="ListParagraph"/>
        <w:numPr>
          <w:ilvl w:val="0"/>
          <w:numId w:val="42"/>
        </w:numPr>
        <w:spacing w:after="0" w:line="276" w:lineRule="auto"/>
        <w:rPr>
          <w:rFonts w:asciiTheme="minorHAnsi" w:hAnsiTheme="minorHAnsi" w:cs="Arial"/>
        </w:rPr>
      </w:pPr>
      <w:r w:rsidRPr="00E26E6E">
        <w:rPr>
          <w:rFonts w:asciiTheme="minorHAnsi" w:hAnsiTheme="minorHAnsi" w:cs="Arial"/>
        </w:rPr>
        <w:t>Offences against the person (homicide, acts intended to cause injury, sexual assault and related offences, robbery, and abduction, harassment and other offences);</w:t>
      </w:r>
    </w:p>
    <w:p w:rsidR="00437D95" w:rsidRPr="00E26E6E" w:rsidRDefault="00437D95" w:rsidP="00AD0C4C">
      <w:pPr>
        <w:pStyle w:val="ListParagraph"/>
        <w:numPr>
          <w:ilvl w:val="0"/>
          <w:numId w:val="42"/>
        </w:numPr>
        <w:spacing w:after="0" w:line="276" w:lineRule="auto"/>
        <w:rPr>
          <w:rFonts w:asciiTheme="minorHAnsi" w:hAnsiTheme="minorHAnsi" w:cs="Arial"/>
        </w:rPr>
      </w:pPr>
      <w:r w:rsidRPr="00E26E6E">
        <w:rPr>
          <w:rFonts w:asciiTheme="minorHAnsi" w:hAnsiTheme="minorHAnsi" w:cs="Arial"/>
        </w:rPr>
        <w:t xml:space="preserve">Property offences (commercial break-ins, house break-ins, theft and related offences, property damage, and arson); </w:t>
      </w:r>
    </w:p>
    <w:p w:rsidR="003D26B9" w:rsidRPr="003D26B9" w:rsidRDefault="00437D95" w:rsidP="003D26B9">
      <w:pPr>
        <w:pStyle w:val="ListParagraph"/>
        <w:numPr>
          <w:ilvl w:val="0"/>
          <w:numId w:val="42"/>
        </w:numPr>
        <w:spacing w:after="0" w:line="276" w:lineRule="auto"/>
        <w:rPr>
          <w:rFonts w:asciiTheme="minorHAnsi" w:hAnsiTheme="minorHAnsi" w:cs="Arial"/>
        </w:rPr>
      </w:pPr>
      <w:r w:rsidRPr="00E26E6E">
        <w:rPr>
          <w:rFonts w:asciiTheme="minorHAnsi" w:hAnsiTheme="minorHAnsi" w:cs="Arial"/>
        </w:rPr>
        <w:t>Other offences (dangerous driving offences, offences against justice procedure, public order offences, illicit drug offences, prohibited and regulated weapons and explosive offences, and all other offences).</w:t>
      </w:r>
    </w:p>
    <w:p w:rsidR="00437D95" w:rsidRPr="00E26E6E" w:rsidRDefault="00437D95" w:rsidP="003D26B9">
      <w:pPr>
        <w:spacing w:line="276" w:lineRule="auto"/>
        <w:rPr>
          <w:rFonts w:asciiTheme="minorHAnsi" w:hAnsiTheme="minorHAnsi" w:cs="Arial"/>
        </w:rPr>
      </w:pPr>
      <w:r w:rsidRPr="00E26E6E">
        <w:rPr>
          <w:rFonts w:asciiTheme="minorHAnsi" w:hAnsiTheme="minorHAnsi" w:cs="Arial"/>
        </w:rPr>
        <w:t xml:space="preserve">On their first </w:t>
      </w:r>
      <w:r w:rsidR="009A67F3">
        <w:rPr>
          <w:rFonts w:asciiTheme="minorHAnsi" w:hAnsiTheme="minorHAnsi" w:cs="Arial"/>
        </w:rPr>
        <w:t xml:space="preserve">correctional episode involving </w:t>
      </w:r>
      <w:r w:rsidR="005F741D" w:rsidRPr="00E26E6E">
        <w:rPr>
          <w:rFonts w:asciiTheme="minorHAnsi" w:hAnsiTheme="minorHAnsi" w:cs="Arial"/>
        </w:rPr>
        <w:t xml:space="preserve">youth </w:t>
      </w:r>
      <w:r w:rsidRPr="00E26E6E">
        <w:rPr>
          <w:rFonts w:asciiTheme="minorHAnsi" w:hAnsiTheme="minorHAnsi" w:cs="Arial"/>
        </w:rPr>
        <w:t>detention, the most common offence is offence</w:t>
      </w:r>
      <w:r w:rsidR="009A67F3">
        <w:rPr>
          <w:rFonts w:asciiTheme="minorHAnsi" w:hAnsiTheme="minorHAnsi" w:cs="Arial"/>
        </w:rPr>
        <w:t>s</w:t>
      </w:r>
      <w:r w:rsidRPr="00E26E6E">
        <w:rPr>
          <w:rFonts w:asciiTheme="minorHAnsi" w:hAnsiTheme="minorHAnsi" w:cs="Arial"/>
        </w:rPr>
        <w:t xml:space="preserve"> against the person (39%) followed by property offences (38%), and all other offences (23%). Figure 3 shows that up to age 15, the majority</w:t>
      </w:r>
      <w:r w:rsidR="009A67F3">
        <w:rPr>
          <w:rFonts w:asciiTheme="minorHAnsi" w:hAnsiTheme="minorHAnsi" w:cs="Arial"/>
        </w:rPr>
        <w:t xml:space="preserve"> of</w:t>
      </w:r>
      <w:r w:rsidRPr="00E26E6E">
        <w:rPr>
          <w:rFonts w:asciiTheme="minorHAnsi" w:hAnsiTheme="minorHAnsi" w:cs="Arial"/>
        </w:rPr>
        <w:t xml:space="preserve"> </w:t>
      </w:r>
      <w:r w:rsidR="009A67F3" w:rsidRPr="009A67F3">
        <w:rPr>
          <w:rFonts w:asciiTheme="minorHAnsi" w:hAnsiTheme="minorHAnsi" w:cs="Arial"/>
        </w:rPr>
        <w:t xml:space="preserve">detainees on their </w:t>
      </w:r>
      <w:r w:rsidR="00586ED2">
        <w:rPr>
          <w:rFonts w:asciiTheme="minorHAnsi" w:hAnsiTheme="minorHAnsi" w:cs="Arial"/>
        </w:rPr>
        <w:t>ever youth</w:t>
      </w:r>
      <w:r w:rsidR="003D26B9">
        <w:rPr>
          <w:rFonts w:asciiTheme="minorHAnsi" w:hAnsiTheme="minorHAnsi" w:cs="Arial"/>
        </w:rPr>
        <w:t xml:space="preserve"> detention </w:t>
      </w:r>
      <w:r w:rsidRPr="00E26E6E">
        <w:rPr>
          <w:rFonts w:asciiTheme="minorHAnsi" w:hAnsiTheme="minorHAnsi" w:cs="Arial"/>
        </w:rPr>
        <w:t xml:space="preserve">were detained due to property offences. At age 16, the property offences dropped but the offence against the person kept on increasing. Other offences are lowest across all ages except at age 16 when this category overtook property offence due to increase in number of driving-related offences. </w:t>
      </w:r>
    </w:p>
    <w:p w:rsidR="00714F6E" w:rsidRDefault="00714F6E" w:rsidP="00437D95">
      <w:pPr>
        <w:rPr>
          <w:rFonts w:ascii="Arial" w:hAnsi="Arial" w:cs="Arial"/>
        </w:rPr>
      </w:pPr>
    </w:p>
    <w:p w:rsidR="001050B1" w:rsidRDefault="001050B1">
      <w:pPr>
        <w:rPr>
          <w:rFonts w:ascii="Arial" w:hAnsi="Arial" w:cs="Arial"/>
        </w:rPr>
      </w:pPr>
      <w:r>
        <w:rPr>
          <w:rFonts w:ascii="Arial" w:hAnsi="Arial" w:cs="Arial"/>
        </w:rPr>
        <w:br w:type="page"/>
      </w:r>
    </w:p>
    <w:p w:rsidR="00437D95" w:rsidRDefault="00437D95" w:rsidP="00437D95">
      <w:pPr>
        <w:rPr>
          <w:rFonts w:asciiTheme="minorHAnsi" w:hAnsiTheme="minorHAnsi" w:cs="Arial"/>
        </w:rPr>
      </w:pPr>
      <w:r w:rsidRPr="001050B1">
        <w:rPr>
          <w:rFonts w:asciiTheme="minorHAnsi" w:hAnsiTheme="minorHAnsi" w:cs="Arial"/>
        </w:rPr>
        <w:lastRenderedPageBreak/>
        <w:t>Figure 3. Category of offence at first youth detention</w:t>
      </w:r>
    </w:p>
    <w:p w:rsidR="0018516A" w:rsidRPr="001050B1" w:rsidRDefault="00C65D24" w:rsidP="00437D95">
      <w:pPr>
        <w:rPr>
          <w:rFonts w:asciiTheme="minorHAnsi" w:hAnsiTheme="minorHAnsi" w:cs="Arial"/>
        </w:rPr>
      </w:pPr>
      <w:r>
        <w:rPr>
          <w:rFonts w:asciiTheme="minorHAnsi" w:hAnsiTheme="minorHAnsi" w:cs="Arial"/>
          <w:noProof/>
          <w:lang w:eastAsia="en-AU"/>
        </w:rPr>
        <w:drawing>
          <wp:inline distT="0" distB="0" distL="0" distR="0" wp14:anchorId="290CCB5B">
            <wp:extent cx="5742940" cy="3200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2940" cy="3200400"/>
                    </a:xfrm>
                    <a:prstGeom prst="rect">
                      <a:avLst/>
                    </a:prstGeom>
                    <a:noFill/>
                  </pic:spPr>
                </pic:pic>
              </a:graphicData>
            </a:graphic>
          </wp:inline>
        </w:drawing>
      </w:r>
    </w:p>
    <w:p w:rsidR="00437D95" w:rsidRPr="002865C0" w:rsidRDefault="00437D95" w:rsidP="002865C0">
      <w:pPr>
        <w:spacing w:line="276" w:lineRule="auto"/>
        <w:rPr>
          <w:rFonts w:asciiTheme="minorHAnsi" w:hAnsiTheme="minorHAnsi" w:cs="Arial"/>
        </w:rPr>
      </w:pPr>
      <w:r w:rsidRPr="002865C0">
        <w:rPr>
          <w:rFonts w:asciiTheme="minorHAnsi" w:hAnsiTheme="minorHAnsi" w:cs="Arial"/>
        </w:rPr>
        <w:t xml:space="preserve">Most of the youths 150 (42%) had only </w:t>
      </w:r>
      <w:r w:rsidR="0082758D" w:rsidRPr="002865C0">
        <w:rPr>
          <w:rFonts w:asciiTheme="minorHAnsi" w:hAnsiTheme="minorHAnsi" w:cs="Arial"/>
        </w:rPr>
        <w:t xml:space="preserve">one correctional episode involving youth detention </w:t>
      </w:r>
      <w:r w:rsidRPr="002865C0">
        <w:rPr>
          <w:rFonts w:asciiTheme="minorHAnsi" w:hAnsiTheme="minorHAnsi" w:cs="Arial"/>
        </w:rPr>
        <w:t xml:space="preserve">and did not </w:t>
      </w:r>
      <w:r w:rsidR="0082758D" w:rsidRPr="002865C0">
        <w:rPr>
          <w:rFonts w:asciiTheme="minorHAnsi" w:hAnsiTheme="minorHAnsi" w:cs="Arial"/>
        </w:rPr>
        <w:t xml:space="preserve">have further correctional episode involving youth detention. </w:t>
      </w:r>
      <w:r w:rsidRPr="002865C0">
        <w:rPr>
          <w:rFonts w:asciiTheme="minorHAnsi" w:hAnsiTheme="minorHAnsi" w:cs="Arial"/>
        </w:rPr>
        <w:t xml:space="preserve">Some young people though, </w:t>
      </w:r>
      <w:r w:rsidR="0082758D" w:rsidRPr="002865C0">
        <w:rPr>
          <w:rFonts w:asciiTheme="minorHAnsi" w:hAnsiTheme="minorHAnsi" w:cs="Arial"/>
        </w:rPr>
        <w:t xml:space="preserve">had multiple correctional episode involving youth detention </w:t>
      </w:r>
      <w:r w:rsidRPr="002865C0">
        <w:rPr>
          <w:rFonts w:asciiTheme="minorHAnsi" w:hAnsiTheme="minorHAnsi" w:cs="Arial"/>
        </w:rPr>
        <w:t xml:space="preserve">and 54 (15%) youths had five or more episodes as shown in Figure 4. </w:t>
      </w:r>
      <w:r w:rsidR="003D26B9">
        <w:rPr>
          <w:rFonts w:asciiTheme="minorHAnsi" w:hAnsiTheme="minorHAnsi" w:cs="Arial"/>
        </w:rPr>
        <w:t xml:space="preserve">The most serious offence committed as youth are </w:t>
      </w:r>
      <w:r w:rsidRPr="002865C0">
        <w:rPr>
          <w:rFonts w:asciiTheme="minorHAnsi" w:hAnsiTheme="minorHAnsi" w:cs="Arial"/>
        </w:rPr>
        <w:t>offence</w:t>
      </w:r>
      <w:r w:rsidR="003D26B9">
        <w:rPr>
          <w:rFonts w:asciiTheme="minorHAnsi" w:hAnsiTheme="minorHAnsi" w:cs="Arial"/>
        </w:rPr>
        <w:t>s</w:t>
      </w:r>
      <w:r w:rsidRPr="002865C0">
        <w:rPr>
          <w:rFonts w:asciiTheme="minorHAnsi" w:hAnsiTheme="minorHAnsi" w:cs="Arial"/>
        </w:rPr>
        <w:t xml:space="preserve"> against the person (60.3%), followed by property offences (26.6%), and all other offences (13.0%). </w:t>
      </w:r>
    </w:p>
    <w:p w:rsidR="00437D95" w:rsidRPr="0032339C" w:rsidRDefault="00437D95" w:rsidP="002865C0">
      <w:pPr>
        <w:spacing w:line="276" w:lineRule="auto"/>
      </w:pPr>
      <w:r w:rsidRPr="002865C0">
        <w:rPr>
          <w:rFonts w:asciiTheme="minorHAnsi" w:hAnsiTheme="minorHAnsi" w:cs="Arial"/>
        </w:rPr>
        <w:t xml:space="preserve">Figure 4. Number of </w:t>
      </w:r>
      <w:r w:rsidR="002865C0">
        <w:rPr>
          <w:rFonts w:asciiTheme="minorHAnsi" w:hAnsiTheme="minorHAnsi" w:cs="Arial"/>
        </w:rPr>
        <w:t>correctional episodes involving</w:t>
      </w:r>
      <w:r w:rsidRPr="002865C0">
        <w:rPr>
          <w:rFonts w:asciiTheme="minorHAnsi" w:hAnsiTheme="minorHAnsi" w:cs="Arial"/>
        </w:rPr>
        <w:t xml:space="preserve"> youth detention</w:t>
      </w:r>
      <w:r w:rsidRPr="0032339C">
        <w:rPr>
          <w:rFonts w:ascii="Arial" w:hAnsi="Arial" w:cs="Arial"/>
        </w:rPr>
        <w:t xml:space="preserve"> </w:t>
      </w:r>
    </w:p>
    <w:p w:rsidR="00437D95" w:rsidRPr="0032339C" w:rsidRDefault="00C65D24" w:rsidP="00437D95">
      <w:pPr>
        <w:spacing w:line="360" w:lineRule="auto"/>
        <w:rPr>
          <w:rFonts w:ascii="Arial" w:hAnsi="Arial" w:cs="Arial"/>
          <w:b/>
        </w:rPr>
      </w:pPr>
      <w:r>
        <w:rPr>
          <w:rFonts w:ascii="Arial" w:hAnsi="Arial" w:cs="Arial"/>
          <w:b/>
          <w:noProof/>
          <w:lang w:eastAsia="en-AU"/>
        </w:rPr>
        <w:drawing>
          <wp:inline distT="0" distB="0" distL="0" distR="0" wp14:anchorId="08337D18">
            <wp:extent cx="5742940" cy="33959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2940" cy="3395980"/>
                    </a:xfrm>
                    <a:prstGeom prst="rect">
                      <a:avLst/>
                    </a:prstGeom>
                    <a:noFill/>
                  </pic:spPr>
                </pic:pic>
              </a:graphicData>
            </a:graphic>
          </wp:inline>
        </w:drawing>
      </w:r>
    </w:p>
    <w:p w:rsidR="00437D95" w:rsidRPr="0032339C" w:rsidRDefault="00437D95" w:rsidP="00DD054B">
      <w:pPr>
        <w:pStyle w:val="Heading2"/>
      </w:pPr>
      <w:bookmarkStart w:id="10" w:name="_Toc55569854"/>
      <w:r w:rsidRPr="0032339C">
        <w:lastRenderedPageBreak/>
        <w:t>Survival Analysis</w:t>
      </w:r>
      <w:bookmarkEnd w:id="10"/>
      <w:r w:rsidRPr="0032339C">
        <w:t xml:space="preserve"> </w:t>
      </w:r>
    </w:p>
    <w:p w:rsidR="00437D95" w:rsidRPr="00101DEC" w:rsidRDefault="00437D95" w:rsidP="00586ED2">
      <w:pPr>
        <w:spacing w:line="276" w:lineRule="auto"/>
        <w:rPr>
          <w:rFonts w:asciiTheme="minorHAnsi" w:hAnsiTheme="minorHAnsi" w:cs="Arial"/>
        </w:rPr>
      </w:pPr>
      <w:r w:rsidRPr="00101DEC">
        <w:rPr>
          <w:rFonts w:asciiTheme="minorHAnsi" w:hAnsiTheme="minorHAnsi" w:cs="Arial"/>
        </w:rPr>
        <w:t xml:space="preserve">The Kaplan-Meier recidivism estimate for all the young offenders in the cohort is shown in Figure 5. The recidivism estimate is 23.2% (95% confidence interval [CI] 19.2 – 28.0) after one year and 61.3% (CI 54.9 – 67.8) by five years after discharge. The median time between discharge from youth detention and reception into adult custody is three years and four months. </w:t>
      </w:r>
    </w:p>
    <w:p w:rsidR="00437D95" w:rsidRPr="00101DEC" w:rsidRDefault="00437D95" w:rsidP="00586ED2">
      <w:pPr>
        <w:spacing w:line="276" w:lineRule="auto"/>
        <w:rPr>
          <w:rFonts w:asciiTheme="minorHAnsi" w:hAnsiTheme="minorHAnsi" w:cs="Arial"/>
        </w:rPr>
      </w:pPr>
      <w:r w:rsidRPr="00101DEC">
        <w:rPr>
          <w:rFonts w:asciiTheme="minorHAnsi" w:hAnsiTheme="minorHAnsi" w:cs="Arial"/>
        </w:rPr>
        <w:t>Figure 5</w:t>
      </w:r>
      <w:r w:rsidR="00101DEC" w:rsidRPr="00101DEC">
        <w:rPr>
          <w:rFonts w:asciiTheme="minorHAnsi" w:hAnsiTheme="minorHAnsi" w:cs="Arial"/>
        </w:rPr>
        <w:t xml:space="preserve">. </w:t>
      </w:r>
      <w:r w:rsidR="00586ED2">
        <w:t>Proportion of youth detainees received in adult custody</w:t>
      </w:r>
    </w:p>
    <w:p w:rsidR="00437D95" w:rsidRDefault="007331CB" w:rsidP="00437D95">
      <w:pPr>
        <w:spacing w:line="360" w:lineRule="auto"/>
        <w:rPr>
          <w:rFonts w:ascii="Arial" w:hAnsi="Arial" w:cs="Arial"/>
        </w:rPr>
      </w:pPr>
      <w:r w:rsidRPr="007331CB">
        <w:rPr>
          <w:rFonts w:ascii="Arial" w:hAnsi="Arial" w:cs="Arial"/>
          <w:noProof/>
          <w:lang w:eastAsia="en-AU"/>
        </w:rPr>
        <w:drawing>
          <wp:inline distT="0" distB="0" distL="0" distR="0" wp14:anchorId="0EC9FFD3" wp14:editId="0628EB23">
            <wp:extent cx="5025390" cy="36576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rsidR="00437D95" w:rsidRPr="007425CA" w:rsidRDefault="00437D95" w:rsidP="00586ED2">
      <w:pPr>
        <w:spacing w:line="276" w:lineRule="auto"/>
        <w:rPr>
          <w:rFonts w:asciiTheme="minorHAnsi" w:hAnsiTheme="minorHAnsi" w:cs="Arial"/>
          <w:shd w:val="clear" w:color="auto" w:fill="FFFFFF"/>
        </w:rPr>
      </w:pPr>
      <w:r w:rsidRPr="007425CA">
        <w:rPr>
          <w:rFonts w:asciiTheme="minorHAnsi" w:hAnsiTheme="minorHAnsi" w:cs="Arial"/>
        </w:rPr>
        <w:t xml:space="preserve">The recidivism estimates by gender, Aboriginal status, age at first detention, number of </w:t>
      </w:r>
      <w:r w:rsidR="007C4D2B" w:rsidRPr="007425CA">
        <w:rPr>
          <w:rFonts w:asciiTheme="minorHAnsi" w:hAnsiTheme="minorHAnsi" w:cs="Arial"/>
        </w:rPr>
        <w:t>correctional episode involving youth detention</w:t>
      </w:r>
      <w:r w:rsidRPr="007425CA">
        <w:rPr>
          <w:rFonts w:asciiTheme="minorHAnsi" w:hAnsiTheme="minorHAnsi" w:cs="Arial"/>
        </w:rPr>
        <w:t>, and most serious offence committed as youth are shown in Figures 6 to 10. The log-rank test was used for comparing recidivism curves among two or more groups. There were significant differences between Kaplan-Meier recidivism estimates for males and females (</w:t>
      </w:r>
      <w:r w:rsidRPr="007425CA">
        <w:rPr>
          <w:rFonts w:asciiTheme="minorHAnsi" w:hAnsiTheme="minorHAnsi" w:cs="Arial"/>
          <w:shd w:val="clear" w:color="auto" w:fill="FFFFFF"/>
        </w:rPr>
        <w:t>p = 0.0000), Aboriginal and non-Aboriginal (</w:t>
      </w:r>
      <w:r w:rsidRPr="007425CA">
        <w:rPr>
          <w:rFonts w:asciiTheme="minorHAnsi" w:hAnsiTheme="minorHAnsi" w:cs="Arial"/>
        </w:rPr>
        <w:t xml:space="preserve">p = 0.0474), age at first youth detention </w:t>
      </w:r>
      <w:r w:rsidRPr="007425CA">
        <w:rPr>
          <w:rFonts w:asciiTheme="minorHAnsi" w:hAnsiTheme="minorHAnsi" w:cs="Arial"/>
          <w:shd w:val="clear" w:color="auto" w:fill="FFFFFF"/>
        </w:rPr>
        <w:t xml:space="preserve">(p = 0.0005), and </w:t>
      </w:r>
      <w:r w:rsidRPr="007425CA">
        <w:rPr>
          <w:rFonts w:asciiTheme="minorHAnsi" w:hAnsiTheme="minorHAnsi" w:cs="Arial"/>
        </w:rPr>
        <w:t xml:space="preserve">number of </w:t>
      </w:r>
      <w:r w:rsidR="007C4D2B" w:rsidRPr="007425CA">
        <w:rPr>
          <w:rFonts w:asciiTheme="minorHAnsi" w:hAnsiTheme="minorHAnsi" w:cs="Arial"/>
        </w:rPr>
        <w:t xml:space="preserve">correctional episode involving youth detention </w:t>
      </w:r>
      <w:r w:rsidRPr="007425CA">
        <w:rPr>
          <w:rFonts w:asciiTheme="minorHAnsi" w:hAnsiTheme="minorHAnsi" w:cs="Arial"/>
        </w:rPr>
        <w:t>(p = 0.0439).</w:t>
      </w:r>
      <w:r w:rsidRPr="007425CA">
        <w:rPr>
          <w:rFonts w:asciiTheme="minorHAnsi" w:hAnsiTheme="minorHAnsi" w:cs="Arial"/>
          <w:shd w:val="clear" w:color="auto" w:fill="FFFFFF"/>
        </w:rPr>
        <w:t xml:space="preserve"> There were no significant differences in recidivism rates by </w:t>
      </w:r>
      <w:r w:rsidRPr="007425CA">
        <w:rPr>
          <w:rFonts w:asciiTheme="minorHAnsi" w:hAnsiTheme="minorHAnsi" w:cs="Arial"/>
        </w:rPr>
        <w:t>most serious offence committed as youth (</w:t>
      </w:r>
      <w:r w:rsidRPr="007425CA">
        <w:rPr>
          <w:rFonts w:asciiTheme="minorHAnsi" w:hAnsiTheme="minorHAnsi" w:cs="Arial"/>
          <w:shd w:val="clear" w:color="auto" w:fill="FFFFFF"/>
        </w:rPr>
        <w:t xml:space="preserve">p = 0.0553).  Note that these tests compare whether groups having specific characteristics had different recidivism rates; however, they do not represent the impact of those factors on recidivism, as the groups differed in other ways.  </w:t>
      </w:r>
    </w:p>
    <w:p w:rsidR="007C4D2B" w:rsidRDefault="007C4D2B" w:rsidP="007C4D2B">
      <w:pPr>
        <w:rPr>
          <w:rFonts w:asciiTheme="minorHAnsi" w:hAnsiTheme="minorHAnsi" w:cs="Arial"/>
        </w:rPr>
      </w:pPr>
    </w:p>
    <w:p w:rsidR="007425CA" w:rsidRDefault="007425CA">
      <w:pPr>
        <w:rPr>
          <w:rFonts w:asciiTheme="minorHAnsi" w:hAnsiTheme="minorHAnsi" w:cs="Arial"/>
        </w:rPr>
      </w:pPr>
      <w:r>
        <w:rPr>
          <w:rFonts w:asciiTheme="minorHAnsi" w:hAnsiTheme="minorHAnsi" w:cs="Arial"/>
        </w:rPr>
        <w:br w:type="page"/>
      </w:r>
    </w:p>
    <w:p w:rsidR="00437D95" w:rsidRPr="00CD146B" w:rsidRDefault="007C4D2B" w:rsidP="007C4D2B">
      <w:pPr>
        <w:rPr>
          <w:rFonts w:asciiTheme="minorHAnsi" w:hAnsiTheme="minorHAnsi" w:cs="Arial"/>
        </w:rPr>
      </w:pPr>
      <w:r w:rsidRPr="00CD146B">
        <w:rPr>
          <w:rFonts w:asciiTheme="minorHAnsi" w:hAnsiTheme="minorHAnsi" w:cs="Arial"/>
        </w:rPr>
        <w:lastRenderedPageBreak/>
        <w:t xml:space="preserve">Figure 6. </w:t>
      </w:r>
      <w:r w:rsidR="00586ED2">
        <w:t>Proportion of youth detainees received in adult custody</w:t>
      </w:r>
      <w:r w:rsidR="00586ED2" w:rsidRPr="00CD146B">
        <w:rPr>
          <w:rFonts w:asciiTheme="minorHAnsi" w:hAnsiTheme="minorHAnsi" w:cs="Arial"/>
        </w:rPr>
        <w:t xml:space="preserve"> </w:t>
      </w:r>
      <w:r w:rsidR="00437D95" w:rsidRPr="00CD146B">
        <w:rPr>
          <w:rFonts w:asciiTheme="minorHAnsi" w:hAnsiTheme="minorHAnsi" w:cs="Arial"/>
        </w:rPr>
        <w:t xml:space="preserve">by gender </w:t>
      </w:r>
    </w:p>
    <w:p w:rsidR="00C63AAE" w:rsidRPr="007C4D2B" w:rsidRDefault="00C63AAE" w:rsidP="007C4D2B">
      <w:pPr>
        <w:rPr>
          <w:rFonts w:asciiTheme="minorHAnsi" w:hAnsiTheme="minorHAnsi" w:cs="Arial"/>
        </w:rPr>
      </w:pPr>
      <w:r w:rsidRPr="00C63AAE">
        <w:rPr>
          <w:rFonts w:asciiTheme="minorHAnsi" w:hAnsiTheme="minorHAnsi" w:cs="Arial"/>
          <w:noProof/>
          <w:lang w:eastAsia="en-AU"/>
        </w:rPr>
        <w:drawing>
          <wp:inline distT="0" distB="0" distL="0" distR="0" wp14:anchorId="33BEB1BF" wp14:editId="385358E7">
            <wp:extent cx="5025390" cy="36576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rsidR="00437D95" w:rsidRPr="00CD146B" w:rsidRDefault="00CD146B" w:rsidP="00437D95">
      <w:pPr>
        <w:rPr>
          <w:rFonts w:asciiTheme="minorHAnsi" w:hAnsiTheme="minorHAnsi" w:cs="Arial"/>
        </w:rPr>
      </w:pPr>
      <w:r w:rsidRPr="00CD146B">
        <w:rPr>
          <w:rFonts w:asciiTheme="minorHAnsi" w:hAnsiTheme="minorHAnsi" w:cs="Arial"/>
        </w:rPr>
        <w:t xml:space="preserve">Figure 7. </w:t>
      </w:r>
      <w:r w:rsidR="00586ED2">
        <w:t>Proportion of youth detainees received in adult custody</w:t>
      </w:r>
      <w:r w:rsidR="00586ED2" w:rsidRPr="00CD146B">
        <w:rPr>
          <w:rFonts w:asciiTheme="minorHAnsi" w:hAnsiTheme="minorHAnsi" w:cs="Arial"/>
        </w:rPr>
        <w:t xml:space="preserve"> </w:t>
      </w:r>
      <w:r w:rsidR="00586ED2">
        <w:rPr>
          <w:rFonts w:asciiTheme="minorHAnsi" w:hAnsiTheme="minorHAnsi" w:cs="Arial"/>
        </w:rPr>
        <w:t xml:space="preserve">by </w:t>
      </w:r>
      <w:r w:rsidR="00437D95" w:rsidRPr="00CD146B">
        <w:rPr>
          <w:rFonts w:asciiTheme="minorHAnsi" w:hAnsiTheme="minorHAnsi" w:cs="Arial"/>
        </w:rPr>
        <w:t xml:space="preserve">Aboriginal status </w:t>
      </w:r>
    </w:p>
    <w:p w:rsidR="00C63AAE" w:rsidRPr="0032339C" w:rsidRDefault="00C63AAE" w:rsidP="00437D95">
      <w:pPr>
        <w:rPr>
          <w:rFonts w:ascii="Arial" w:hAnsi="Arial" w:cs="Arial"/>
        </w:rPr>
      </w:pPr>
      <w:r w:rsidRPr="00C63AAE">
        <w:rPr>
          <w:rFonts w:ascii="Arial" w:hAnsi="Arial" w:cs="Arial"/>
          <w:noProof/>
          <w:lang w:eastAsia="en-AU"/>
        </w:rPr>
        <w:drawing>
          <wp:inline distT="0" distB="0" distL="0" distR="0" wp14:anchorId="0AE3602E" wp14:editId="09AD2716">
            <wp:extent cx="5025390" cy="36576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rsidR="00CD146B" w:rsidRDefault="00CD146B">
      <w:pPr>
        <w:rPr>
          <w:rFonts w:ascii="Arial" w:hAnsi="Arial" w:cs="Arial"/>
          <w:b/>
          <w:bCs/>
          <w:sz w:val="23"/>
          <w:szCs w:val="23"/>
        </w:rPr>
      </w:pPr>
      <w:r>
        <w:rPr>
          <w:rFonts w:ascii="Arial" w:hAnsi="Arial" w:cs="Arial"/>
          <w:b/>
          <w:bCs/>
          <w:sz w:val="23"/>
          <w:szCs w:val="23"/>
        </w:rPr>
        <w:br w:type="page"/>
      </w:r>
    </w:p>
    <w:p w:rsidR="00970270" w:rsidRDefault="00B034A5" w:rsidP="00B034A5">
      <w:pPr>
        <w:jc w:val="both"/>
        <w:rPr>
          <w:rFonts w:asciiTheme="minorHAnsi" w:hAnsiTheme="minorHAnsi" w:cs="Arial"/>
        </w:rPr>
      </w:pPr>
      <w:r>
        <w:rPr>
          <w:rFonts w:asciiTheme="minorHAnsi" w:hAnsiTheme="minorHAnsi" w:cs="Arial"/>
        </w:rPr>
        <w:lastRenderedPageBreak/>
        <w:t xml:space="preserve">Note that </w:t>
      </w:r>
      <w:r>
        <w:t>confidence bands are not included for figures 8 – 10 due to the degree of overlap.</w:t>
      </w:r>
    </w:p>
    <w:p w:rsidR="00437D95" w:rsidRPr="00BB6101" w:rsidRDefault="00C63AAE" w:rsidP="00437D95">
      <w:pPr>
        <w:rPr>
          <w:rFonts w:asciiTheme="minorHAnsi" w:hAnsiTheme="minorHAnsi" w:cs="Arial"/>
        </w:rPr>
      </w:pPr>
      <w:r w:rsidRPr="00BB6101">
        <w:rPr>
          <w:rFonts w:asciiTheme="minorHAnsi" w:hAnsiTheme="minorHAnsi" w:cs="Arial"/>
        </w:rPr>
        <w:t xml:space="preserve">Figure 8. </w:t>
      </w:r>
      <w:r w:rsidR="00586ED2">
        <w:t>Proportion of youth detainees received in adult custody</w:t>
      </w:r>
      <w:r w:rsidR="00586ED2" w:rsidRPr="00BB6101">
        <w:rPr>
          <w:rFonts w:asciiTheme="minorHAnsi" w:hAnsiTheme="minorHAnsi" w:cs="Arial"/>
        </w:rPr>
        <w:t xml:space="preserve"> </w:t>
      </w:r>
      <w:r w:rsidR="00586ED2">
        <w:rPr>
          <w:rFonts w:asciiTheme="minorHAnsi" w:hAnsiTheme="minorHAnsi" w:cs="Arial"/>
        </w:rPr>
        <w:t xml:space="preserve">by </w:t>
      </w:r>
      <w:r w:rsidR="00437D95" w:rsidRPr="00BB6101">
        <w:rPr>
          <w:rFonts w:asciiTheme="minorHAnsi" w:hAnsiTheme="minorHAnsi" w:cs="Arial"/>
        </w:rPr>
        <w:t xml:space="preserve">age at first </w:t>
      </w:r>
      <w:r w:rsidRPr="00BB6101">
        <w:rPr>
          <w:rFonts w:asciiTheme="minorHAnsi" w:hAnsiTheme="minorHAnsi" w:cs="Arial"/>
        </w:rPr>
        <w:t xml:space="preserve">youth </w:t>
      </w:r>
      <w:r w:rsidR="00437D95" w:rsidRPr="00BB6101">
        <w:rPr>
          <w:rFonts w:asciiTheme="minorHAnsi" w:hAnsiTheme="minorHAnsi" w:cs="Arial"/>
        </w:rPr>
        <w:t>detention</w:t>
      </w:r>
    </w:p>
    <w:p w:rsidR="00476071" w:rsidRDefault="00CE353C" w:rsidP="00476071">
      <w:r w:rsidRPr="00CE353C">
        <w:rPr>
          <w:rFonts w:ascii="Arial" w:hAnsi="Arial" w:cs="Arial"/>
          <w:noProof/>
          <w:lang w:eastAsia="en-AU"/>
        </w:rPr>
        <w:drawing>
          <wp:inline distT="0" distB="0" distL="0" distR="0" wp14:anchorId="59B75EB2" wp14:editId="274A1C35">
            <wp:extent cx="5025390" cy="365760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r w:rsidR="00476071">
        <w:t xml:space="preserve"> </w:t>
      </w:r>
    </w:p>
    <w:p w:rsidR="00C906D5" w:rsidRPr="00CD146B" w:rsidRDefault="00CD146B" w:rsidP="00CD146B">
      <w:pPr>
        <w:rPr>
          <w:rFonts w:asciiTheme="minorHAnsi" w:hAnsiTheme="minorHAnsi" w:cs="Arial"/>
          <w:noProof/>
          <w:lang w:eastAsia="en-AU"/>
        </w:rPr>
      </w:pPr>
      <w:r w:rsidRPr="00CD146B">
        <w:rPr>
          <w:rStyle w:val="CommentReference"/>
          <w:rFonts w:asciiTheme="minorHAnsi" w:hAnsiTheme="minorHAnsi"/>
          <w:sz w:val="22"/>
          <w:szCs w:val="22"/>
        </w:rPr>
        <w:t>Fi</w:t>
      </w:r>
      <w:r w:rsidRPr="00CD146B">
        <w:rPr>
          <w:rFonts w:asciiTheme="minorHAnsi" w:hAnsiTheme="minorHAnsi" w:cs="Arial"/>
        </w:rPr>
        <w:t xml:space="preserve">gure 9. </w:t>
      </w:r>
      <w:r w:rsidR="00586ED2">
        <w:t>Proportion of youth detainees received in adult custody</w:t>
      </w:r>
      <w:r w:rsidR="00586ED2" w:rsidRPr="00CD146B">
        <w:rPr>
          <w:rFonts w:asciiTheme="minorHAnsi" w:hAnsiTheme="minorHAnsi" w:cs="Arial"/>
        </w:rPr>
        <w:t xml:space="preserve"> </w:t>
      </w:r>
      <w:r w:rsidR="00437D95" w:rsidRPr="00CD146B">
        <w:rPr>
          <w:rFonts w:asciiTheme="minorHAnsi" w:hAnsiTheme="minorHAnsi" w:cs="Arial"/>
        </w:rPr>
        <w:t xml:space="preserve">by number </w:t>
      </w:r>
      <w:r w:rsidR="00C906D5" w:rsidRPr="00CD146B">
        <w:rPr>
          <w:rFonts w:asciiTheme="minorHAnsi" w:hAnsiTheme="minorHAnsi" w:cs="Arial"/>
        </w:rPr>
        <w:t>of correctional episodes involving youth detention</w:t>
      </w:r>
      <w:r w:rsidR="00C906D5" w:rsidRPr="00CD146B">
        <w:rPr>
          <w:rFonts w:asciiTheme="minorHAnsi" w:hAnsiTheme="minorHAnsi" w:cs="Arial"/>
          <w:noProof/>
          <w:lang w:eastAsia="en-AU"/>
        </w:rPr>
        <w:t xml:space="preserve"> </w:t>
      </w:r>
    </w:p>
    <w:p w:rsidR="00C906D5" w:rsidRDefault="00CD146B" w:rsidP="00437D95">
      <w:pPr>
        <w:rPr>
          <w:rFonts w:ascii="Arial" w:hAnsi="Arial" w:cs="Arial"/>
          <w:noProof/>
          <w:lang w:eastAsia="en-AU"/>
        </w:rPr>
      </w:pPr>
      <w:r w:rsidRPr="00CD146B">
        <w:rPr>
          <w:rFonts w:ascii="Arial" w:hAnsi="Arial" w:cs="Arial"/>
          <w:noProof/>
          <w:lang w:eastAsia="en-AU"/>
        </w:rPr>
        <w:drawing>
          <wp:inline distT="0" distB="0" distL="0" distR="0" wp14:anchorId="3945A0B4" wp14:editId="6B5EA72A">
            <wp:extent cx="5025390" cy="365760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rsidR="00437D95" w:rsidRPr="00586ED2" w:rsidRDefault="00D42A3B" w:rsidP="00437D95">
      <w:pPr>
        <w:rPr>
          <w:rFonts w:asciiTheme="minorHAnsi" w:hAnsiTheme="minorHAnsi" w:cs="Arial"/>
          <w:b/>
          <w:bCs/>
          <w:sz w:val="23"/>
          <w:szCs w:val="23"/>
        </w:rPr>
      </w:pPr>
      <w:r w:rsidRPr="00586ED2">
        <w:rPr>
          <w:rFonts w:asciiTheme="minorHAnsi" w:hAnsiTheme="minorHAnsi" w:cs="Arial"/>
        </w:rPr>
        <w:lastRenderedPageBreak/>
        <w:t xml:space="preserve">Figure 10. </w:t>
      </w:r>
      <w:r w:rsidR="00586ED2" w:rsidRPr="00586ED2">
        <w:rPr>
          <w:rFonts w:asciiTheme="minorHAnsi" w:hAnsiTheme="minorHAnsi"/>
        </w:rPr>
        <w:t>Proportion of youth detainees received in adult custody</w:t>
      </w:r>
      <w:r w:rsidR="00586ED2" w:rsidRPr="00586ED2">
        <w:rPr>
          <w:rFonts w:asciiTheme="minorHAnsi" w:hAnsiTheme="minorHAnsi" w:cs="Arial"/>
        </w:rPr>
        <w:t xml:space="preserve"> </w:t>
      </w:r>
      <w:r w:rsidR="00437D95" w:rsidRPr="00586ED2">
        <w:rPr>
          <w:rFonts w:asciiTheme="minorHAnsi" w:hAnsiTheme="minorHAnsi" w:cs="Arial"/>
        </w:rPr>
        <w:t>by most serious offence committed as youth</w:t>
      </w:r>
    </w:p>
    <w:p w:rsidR="00437D95" w:rsidRDefault="00D42A3B" w:rsidP="00437D95">
      <w:pPr>
        <w:spacing w:line="360" w:lineRule="auto"/>
        <w:rPr>
          <w:rFonts w:ascii="Arial" w:hAnsi="Arial" w:cs="Arial"/>
          <w:szCs w:val="20"/>
        </w:rPr>
      </w:pPr>
      <w:r w:rsidRPr="00D42A3B">
        <w:rPr>
          <w:rFonts w:ascii="Arial" w:hAnsi="Arial" w:cs="Arial"/>
          <w:noProof/>
          <w:szCs w:val="20"/>
          <w:lang w:eastAsia="en-AU"/>
        </w:rPr>
        <w:drawing>
          <wp:inline distT="0" distB="0" distL="0" distR="0" wp14:anchorId="5F128200" wp14:editId="07535935">
            <wp:extent cx="5025390" cy="36576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25390" cy="3657600"/>
                    </a:xfrm>
                    <a:prstGeom prst="rect">
                      <a:avLst/>
                    </a:prstGeom>
                    <a:noFill/>
                    <a:ln>
                      <a:noFill/>
                    </a:ln>
                  </pic:spPr>
                </pic:pic>
              </a:graphicData>
            </a:graphic>
          </wp:inline>
        </w:drawing>
      </w:r>
    </w:p>
    <w:p w:rsidR="00437D95" w:rsidRPr="00CD146B" w:rsidRDefault="00437D95" w:rsidP="0049289D">
      <w:pPr>
        <w:spacing w:line="276" w:lineRule="auto"/>
        <w:rPr>
          <w:rFonts w:asciiTheme="minorHAnsi" w:hAnsiTheme="minorHAnsi" w:cs="Arial"/>
        </w:rPr>
      </w:pPr>
      <w:r w:rsidRPr="00CD146B">
        <w:rPr>
          <w:rFonts w:asciiTheme="minorHAnsi" w:hAnsiTheme="minorHAnsi" w:cs="Arial"/>
          <w:szCs w:val="20"/>
        </w:rPr>
        <w:t xml:space="preserve">The Cox proportional hazard (PH) regression model was used to analyse the effect of the predictor variables </w:t>
      </w:r>
      <w:r w:rsidR="0049289D">
        <w:rPr>
          <w:rFonts w:asciiTheme="minorHAnsi" w:hAnsiTheme="minorHAnsi" w:cs="Arial"/>
          <w:szCs w:val="20"/>
        </w:rPr>
        <w:t xml:space="preserve">or risk factors </w:t>
      </w:r>
      <w:r w:rsidRPr="00CD146B">
        <w:rPr>
          <w:rFonts w:asciiTheme="minorHAnsi" w:hAnsiTheme="minorHAnsi" w:cs="Arial"/>
          <w:szCs w:val="20"/>
        </w:rPr>
        <w:t>on</w:t>
      </w:r>
      <w:r w:rsidRPr="00CD146B">
        <w:rPr>
          <w:rFonts w:asciiTheme="minorHAnsi" w:hAnsiTheme="minorHAnsi" w:cs="Arial"/>
        </w:rPr>
        <w:t xml:space="preserve"> recidivism. Testing of the PH assumption indicated that all variables except age at first detention (p-value = 0.0036) satisfy the PH assumption. Because one of the predictor variables does not satisfy the PH assumption, the stratified Cox procedure was used for analysis (Kleinbaum &amp; Klein, 2005). Using stratified Cox, we can control for the variable which did not satisfy the PH assumption (age at first detention) by stratification while simultaneously including all the other variables which satisfy the PH assumption. The result of stratified Cox regression is summarized in Table 2. </w:t>
      </w:r>
    </w:p>
    <w:p w:rsidR="00437D95" w:rsidRDefault="00437D95" w:rsidP="0049289D">
      <w:pPr>
        <w:spacing w:line="276" w:lineRule="auto"/>
        <w:rPr>
          <w:rFonts w:asciiTheme="minorHAnsi" w:hAnsiTheme="minorHAnsi" w:cs="Arial"/>
        </w:rPr>
      </w:pPr>
      <w:r w:rsidRPr="00CD146B">
        <w:rPr>
          <w:rFonts w:asciiTheme="minorHAnsi" w:hAnsiTheme="minorHAnsi" w:cs="Arial"/>
        </w:rPr>
        <w:t xml:space="preserve">Table 2. Cox </w:t>
      </w:r>
      <w:r w:rsidR="00586ED2" w:rsidRPr="00CD146B">
        <w:rPr>
          <w:rFonts w:asciiTheme="minorHAnsi" w:hAnsiTheme="minorHAnsi" w:cs="Arial"/>
          <w:szCs w:val="20"/>
        </w:rPr>
        <w:t>proportional hazard regression model</w:t>
      </w:r>
      <w:r w:rsidR="00586ED2">
        <w:rPr>
          <w:rFonts w:asciiTheme="minorHAnsi" w:hAnsiTheme="minorHAnsi" w:cs="Arial"/>
          <w:szCs w:val="20"/>
        </w:rPr>
        <w:t xml:space="preserve"> result</w:t>
      </w:r>
    </w:p>
    <w:tbl>
      <w:tblPr>
        <w:tblStyle w:val="NTGtable1"/>
        <w:tblW w:w="0" w:type="auto"/>
        <w:tblLook w:val="04A0" w:firstRow="1" w:lastRow="0" w:firstColumn="1" w:lastColumn="0" w:noHBand="0" w:noVBand="1"/>
      </w:tblPr>
      <w:tblGrid>
        <w:gridCol w:w="4390"/>
        <w:gridCol w:w="2835"/>
        <w:gridCol w:w="1791"/>
      </w:tblGrid>
      <w:tr w:rsidR="00CD146B" w:rsidTr="00CD14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90" w:type="dxa"/>
          </w:tcPr>
          <w:p w:rsidR="00CD146B" w:rsidRPr="00CD146B" w:rsidRDefault="00CD146B" w:rsidP="0049289D">
            <w:pPr>
              <w:rPr>
                <w:rFonts w:asciiTheme="minorHAnsi" w:hAnsiTheme="minorHAnsi" w:cs="Arial"/>
                <w:bCs/>
              </w:rPr>
            </w:pPr>
            <w:r w:rsidRPr="00CD146B">
              <w:rPr>
                <w:rFonts w:asciiTheme="minorHAnsi" w:hAnsiTheme="minorHAnsi" w:cs="Arial"/>
                <w:b w:val="0"/>
                <w:bCs/>
              </w:rPr>
              <w:t>Risk Factor</w:t>
            </w:r>
            <w:r w:rsidR="0049289D">
              <w:rPr>
                <w:rFonts w:asciiTheme="minorHAnsi" w:hAnsiTheme="minorHAnsi" w:cs="Arial"/>
                <w:b w:val="0"/>
                <w:bCs/>
              </w:rPr>
              <w:t>s</w:t>
            </w:r>
          </w:p>
        </w:tc>
        <w:tc>
          <w:tcPr>
            <w:tcW w:w="2835" w:type="dxa"/>
          </w:tcPr>
          <w:p w:rsidR="00CD146B" w:rsidRPr="00CD146B" w:rsidRDefault="00CD146B" w:rsidP="0049289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rPr>
            </w:pPr>
            <w:r w:rsidRPr="00CD146B">
              <w:rPr>
                <w:rFonts w:asciiTheme="minorHAnsi" w:hAnsiTheme="minorHAnsi" w:cs="Arial"/>
                <w:b w:val="0"/>
                <w:bCs/>
              </w:rPr>
              <w:t>Hazard Ratio (HR)                  (95% CI for HR)</w:t>
            </w:r>
          </w:p>
        </w:tc>
        <w:tc>
          <w:tcPr>
            <w:tcW w:w="1791" w:type="dxa"/>
          </w:tcPr>
          <w:p w:rsidR="00CD146B" w:rsidRPr="00CD146B" w:rsidRDefault="00CD146B" w:rsidP="0049289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Cs/>
              </w:rPr>
            </w:pPr>
            <w:r w:rsidRPr="00CD146B">
              <w:rPr>
                <w:rFonts w:asciiTheme="minorHAnsi" w:hAnsiTheme="minorHAnsi" w:cs="Arial"/>
                <w:b w:val="0"/>
                <w:bCs/>
              </w:rPr>
              <w:t>p-value</w:t>
            </w:r>
          </w:p>
        </w:tc>
      </w:tr>
      <w:tr w:rsidR="00CD146B" w:rsidTr="00CD1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top"/>
          </w:tcPr>
          <w:p w:rsidR="00CD146B" w:rsidRPr="00CD146B" w:rsidRDefault="00CD146B" w:rsidP="0049289D">
            <w:pPr>
              <w:rPr>
                <w:rFonts w:asciiTheme="minorHAnsi" w:hAnsiTheme="minorHAnsi" w:cs="Arial"/>
                <w:bCs/>
              </w:rPr>
            </w:pPr>
            <w:r w:rsidRPr="00CD146B">
              <w:rPr>
                <w:rFonts w:asciiTheme="minorHAnsi" w:hAnsiTheme="minorHAnsi" w:cs="Arial"/>
                <w:bCs/>
              </w:rPr>
              <w:t>Gender</w:t>
            </w:r>
          </w:p>
        </w:tc>
        <w:tc>
          <w:tcPr>
            <w:tcW w:w="2835" w:type="dxa"/>
            <w:vAlign w:val="top"/>
          </w:tcPr>
          <w:p w:rsidR="00CD146B" w:rsidRPr="00CD146B" w:rsidRDefault="00CD146B" w:rsidP="004928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sidRPr="00CD146B">
              <w:rPr>
                <w:rFonts w:asciiTheme="minorHAnsi" w:hAnsiTheme="minorHAnsi" w:cs="Arial"/>
                <w:bCs/>
              </w:rPr>
              <w:t>4.20 (2.21 - 8.00)</w:t>
            </w:r>
          </w:p>
        </w:tc>
        <w:tc>
          <w:tcPr>
            <w:tcW w:w="1791" w:type="dxa"/>
            <w:vAlign w:val="top"/>
          </w:tcPr>
          <w:p w:rsidR="00CD146B" w:rsidRPr="00CD146B" w:rsidRDefault="00CD146B" w:rsidP="004928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sidRPr="00CD146B">
              <w:rPr>
                <w:rFonts w:asciiTheme="minorHAnsi" w:hAnsiTheme="minorHAnsi" w:cs="Arial"/>
                <w:bCs/>
              </w:rPr>
              <w:t>0.000</w:t>
            </w:r>
          </w:p>
        </w:tc>
      </w:tr>
      <w:tr w:rsidR="00CD146B" w:rsidTr="00CD1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top"/>
          </w:tcPr>
          <w:p w:rsidR="00CD146B" w:rsidRPr="00CD146B" w:rsidRDefault="00CD146B" w:rsidP="0049289D">
            <w:pPr>
              <w:rPr>
                <w:rFonts w:asciiTheme="minorHAnsi" w:hAnsiTheme="minorHAnsi" w:cs="Arial"/>
                <w:bCs/>
              </w:rPr>
            </w:pPr>
            <w:r w:rsidRPr="00CD146B">
              <w:rPr>
                <w:rFonts w:asciiTheme="minorHAnsi" w:hAnsiTheme="minorHAnsi" w:cs="Arial"/>
                <w:bCs/>
              </w:rPr>
              <w:t>Aboriginal status</w:t>
            </w:r>
          </w:p>
        </w:tc>
        <w:tc>
          <w:tcPr>
            <w:tcW w:w="2835" w:type="dxa"/>
            <w:vAlign w:val="top"/>
          </w:tcPr>
          <w:p w:rsidR="00CD146B" w:rsidRPr="00CD146B" w:rsidRDefault="00CD146B" w:rsidP="0049289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bCs/>
              </w:rPr>
            </w:pPr>
            <w:r w:rsidRPr="00CD146B">
              <w:rPr>
                <w:rFonts w:asciiTheme="minorHAnsi" w:hAnsiTheme="minorHAnsi" w:cs="Arial"/>
                <w:bCs/>
              </w:rPr>
              <w:t>2.16 (0.80 - 5.87)</w:t>
            </w:r>
          </w:p>
        </w:tc>
        <w:tc>
          <w:tcPr>
            <w:tcW w:w="1791" w:type="dxa"/>
            <w:vAlign w:val="top"/>
          </w:tcPr>
          <w:p w:rsidR="00CD146B" w:rsidRPr="00CD146B" w:rsidRDefault="00CD146B" w:rsidP="0049289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bCs/>
              </w:rPr>
            </w:pPr>
            <w:r w:rsidRPr="00CD146B">
              <w:rPr>
                <w:rFonts w:asciiTheme="minorHAnsi" w:hAnsiTheme="minorHAnsi" w:cs="Arial"/>
                <w:bCs/>
              </w:rPr>
              <w:t>0.130</w:t>
            </w:r>
          </w:p>
        </w:tc>
      </w:tr>
      <w:tr w:rsidR="00CD146B" w:rsidTr="00CD14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top"/>
          </w:tcPr>
          <w:p w:rsidR="00CD146B" w:rsidRPr="00CD146B" w:rsidRDefault="00CD146B" w:rsidP="0049289D">
            <w:pPr>
              <w:rPr>
                <w:rFonts w:asciiTheme="minorHAnsi" w:hAnsiTheme="minorHAnsi" w:cs="Arial"/>
                <w:bCs/>
              </w:rPr>
            </w:pPr>
            <w:r w:rsidRPr="00CD146B">
              <w:rPr>
                <w:rFonts w:asciiTheme="minorHAnsi" w:hAnsiTheme="minorHAnsi" w:cs="Arial"/>
                <w:bCs/>
              </w:rPr>
              <w:t xml:space="preserve">Number of </w:t>
            </w:r>
            <w:r w:rsidRPr="00B8196A">
              <w:rPr>
                <w:rFonts w:asciiTheme="minorHAnsi" w:hAnsiTheme="minorHAnsi" w:cs="Arial"/>
              </w:rPr>
              <w:t xml:space="preserve">correctional episodes involving </w:t>
            </w:r>
            <w:r>
              <w:rPr>
                <w:rFonts w:asciiTheme="minorHAnsi" w:hAnsiTheme="minorHAnsi" w:cs="Arial"/>
              </w:rPr>
              <w:t xml:space="preserve">youth </w:t>
            </w:r>
            <w:r w:rsidRPr="00B8196A">
              <w:rPr>
                <w:rFonts w:asciiTheme="minorHAnsi" w:hAnsiTheme="minorHAnsi" w:cs="Arial"/>
              </w:rPr>
              <w:t>detention</w:t>
            </w:r>
          </w:p>
        </w:tc>
        <w:tc>
          <w:tcPr>
            <w:tcW w:w="2835" w:type="dxa"/>
            <w:vAlign w:val="top"/>
          </w:tcPr>
          <w:p w:rsidR="00CD146B" w:rsidRPr="00CD146B" w:rsidRDefault="00CD146B" w:rsidP="004928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sidRPr="00CD146B">
              <w:rPr>
                <w:rFonts w:asciiTheme="minorHAnsi" w:hAnsiTheme="minorHAnsi" w:cs="Arial"/>
                <w:bCs/>
              </w:rPr>
              <w:t>1.20 (1.09 - 1.32)</w:t>
            </w:r>
          </w:p>
        </w:tc>
        <w:tc>
          <w:tcPr>
            <w:tcW w:w="1791" w:type="dxa"/>
            <w:vAlign w:val="top"/>
          </w:tcPr>
          <w:p w:rsidR="00CD146B" w:rsidRPr="00CD146B" w:rsidRDefault="00CD146B" w:rsidP="0049289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Cs/>
              </w:rPr>
            </w:pPr>
            <w:r w:rsidRPr="00CD146B">
              <w:rPr>
                <w:rFonts w:asciiTheme="minorHAnsi" w:hAnsiTheme="minorHAnsi" w:cs="Arial"/>
                <w:bCs/>
              </w:rPr>
              <w:t>0.000</w:t>
            </w:r>
          </w:p>
        </w:tc>
      </w:tr>
      <w:tr w:rsidR="00CD146B" w:rsidTr="00CD14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vAlign w:val="top"/>
          </w:tcPr>
          <w:p w:rsidR="00CD146B" w:rsidRPr="00CD146B" w:rsidRDefault="00CD146B" w:rsidP="0049289D">
            <w:pPr>
              <w:rPr>
                <w:rFonts w:asciiTheme="minorHAnsi" w:hAnsiTheme="minorHAnsi" w:cs="Arial"/>
                <w:bCs/>
              </w:rPr>
            </w:pPr>
            <w:r w:rsidRPr="00CD146B">
              <w:rPr>
                <w:rFonts w:asciiTheme="minorHAnsi" w:hAnsiTheme="minorHAnsi" w:cs="Arial"/>
                <w:bCs/>
              </w:rPr>
              <w:t xml:space="preserve">Most serious offence committed as youth </w:t>
            </w:r>
          </w:p>
        </w:tc>
        <w:tc>
          <w:tcPr>
            <w:tcW w:w="2835" w:type="dxa"/>
            <w:vAlign w:val="top"/>
          </w:tcPr>
          <w:p w:rsidR="00CD146B" w:rsidRPr="00CD146B" w:rsidRDefault="00CD146B" w:rsidP="0049289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bCs/>
              </w:rPr>
            </w:pPr>
            <w:r w:rsidRPr="00CD146B">
              <w:rPr>
                <w:rFonts w:asciiTheme="minorHAnsi" w:hAnsiTheme="minorHAnsi" w:cs="Arial"/>
                <w:bCs/>
              </w:rPr>
              <w:t>1.22 ( 0.98 - 1.52)</w:t>
            </w:r>
          </w:p>
        </w:tc>
        <w:tc>
          <w:tcPr>
            <w:tcW w:w="1791" w:type="dxa"/>
            <w:vAlign w:val="top"/>
          </w:tcPr>
          <w:p w:rsidR="00CD146B" w:rsidRPr="00CD146B" w:rsidRDefault="00CD146B" w:rsidP="0049289D">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Arial"/>
                <w:bCs/>
              </w:rPr>
            </w:pPr>
            <w:r w:rsidRPr="00CD146B">
              <w:rPr>
                <w:rFonts w:asciiTheme="minorHAnsi" w:hAnsiTheme="minorHAnsi" w:cs="Arial"/>
                <w:bCs/>
              </w:rPr>
              <w:t>0.081</w:t>
            </w:r>
          </w:p>
        </w:tc>
      </w:tr>
    </w:tbl>
    <w:p w:rsidR="0049289D" w:rsidRDefault="0049289D" w:rsidP="00CD146B">
      <w:pPr>
        <w:rPr>
          <w:rFonts w:asciiTheme="minorHAnsi" w:hAnsiTheme="minorHAnsi" w:cs="Arial"/>
        </w:rPr>
      </w:pPr>
    </w:p>
    <w:p w:rsidR="00437D95" w:rsidRDefault="00437D95" w:rsidP="00CD146B">
      <w:pPr>
        <w:rPr>
          <w:rFonts w:asciiTheme="minorHAnsi" w:hAnsiTheme="minorHAnsi" w:cs="Arial"/>
        </w:rPr>
      </w:pPr>
      <w:r w:rsidRPr="00CD146B">
        <w:rPr>
          <w:rFonts w:asciiTheme="minorHAnsi" w:hAnsiTheme="minorHAnsi" w:cs="Arial"/>
        </w:rPr>
        <w:t xml:space="preserve">Male gender (p-value = 0.000) and </w:t>
      </w:r>
      <w:r w:rsidR="00CD146B" w:rsidRPr="00B8196A">
        <w:rPr>
          <w:rFonts w:asciiTheme="minorHAnsi" w:hAnsiTheme="minorHAnsi" w:cs="Arial"/>
        </w:rPr>
        <w:t xml:space="preserve">number of correctional episodes involving </w:t>
      </w:r>
      <w:r w:rsidR="00CD146B">
        <w:rPr>
          <w:rFonts w:asciiTheme="minorHAnsi" w:hAnsiTheme="minorHAnsi" w:cs="Arial"/>
        </w:rPr>
        <w:t xml:space="preserve">youth </w:t>
      </w:r>
      <w:r w:rsidR="00CD146B" w:rsidRPr="00B8196A">
        <w:rPr>
          <w:rFonts w:asciiTheme="minorHAnsi" w:hAnsiTheme="minorHAnsi" w:cs="Arial"/>
        </w:rPr>
        <w:t>detention</w:t>
      </w:r>
      <w:r w:rsidR="00CD146B">
        <w:rPr>
          <w:rFonts w:asciiTheme="minorHAnsi" w:hAnsiTheme="minorHAnsi" w:cs="Arial"/>
          <w:bCs/>
        </w:rPr>
        <w:t xml:space="preserve"> </w:t>
      </w:r>
      <w:r w:rsidRPr="00CD146B">
        <w:rPr>
          <w:rFonts w:asciiTheme="minorHAnsi" w:hAnsiTheme="minorHAnsi" w:cs="Arial"/>
        </w:rPr>
        <w:t xml:space="preserve">(p-value = 0.000) are the significant predictor of recidivism or progressing to adult prison. Aboriginal status (p-value = 0.130) and most serious offence committed as youth </w:t>
      </w:r>
      <w:r w:rsidR="00714F6E" w:rsidRPr="00CD146B">
        <w:rPr>
          <w:rFonts w:asciiTheme="minorHAnsi" w:hAnsiTheme="minorHAnsi" w:cs="Arial"/>
        </w:rPr>
        <w:t>(</w:t>
      </w:r>
      <w:r w:rsidR="00714F6E">
        <w:rPr>
          <w:rFonts w:asciiTheme="minorHAnsi" w:hAnsiTheme="minorHAnsi" w:cs="Arial"/>
        </w:rPr>
        <w:t>p</w:t>
      </w:r>
      <w:r w:rsidRPr="00CD146B">
        <w:rPr>
          <w:rFonts w:asciiTheme="minorHAnsi" w:hAnsiTheme="minorHAnsi" w:cs="Arial"/>
        </w:rPr>
        <w:t>-value = 0.081) are not significant.</w:t>
      </w:r>
    </w:p>
    <w:p w:rsidR="00437D95" w:rsidRPr="0032339C" w:rsidRDefault="00437D95" w:rsidP="00DD054B">
      <w:pPr>
        <w:pStyle w:val="Heading1"/>
      </w:pPr>
      <w:bookmarkStart w:id="11" w:name="_Toc55569855"/>
      <w:r w:rsidRPr="0032339C">
        <w:lastRenderedPageBreak/>
        <w:t>Discussion</w:t>
      </w:r>
      <w:bookmarkEnd w:id="11"/>
      <w:r w:rsidRPr="0032339C">
        <w:t xml:space="preserve"> </w:t>
      </w:r>
    </w:p>
    <w:p w:rsidR="00437D95" w:rsidRPr="00E34066" w:rsidRDefault="00437D95" w:rsidP="0049289D">
      <w:pPr>
        <w:spacing w:line="276" w:lineRule="auto"/>
        <w:rPr>
          <w:rFonts w:asciiTheme="minorHAnsi" w:hAnsiTheme="minorHAnsi" w:cs="Arial"/>
        </w:rPr>
      </w:pPr>
      <w:r w:rsidRPr="00E34066">
        <w:rPr>
          <w:rFonts w:asciiTheme="minorHAnsi" w:hAnsiTheme="minorHAnsi" w:cs="Arial"/>
          <w:bCs/>
        </w:rPr>
        <w:t xml:space="preserve">The estimated five-year recidivism rate is 61 per cent. That is, 61 per cent of those discharged from youth detention are estimated to enter the adult prison system within five years. Recidivism estimates vary significantly </w:t>
      </w:r>
      <w:r w:rsidRPr="00E34066">
        <w:rPr>
          <w:rFonts w:asciiTheme="minorHAnsi" w:hAnsiTheme="minorHAnsi" w:cs="Arial"/>
        </w:rPr>
        <w:t>according to risk factors such as gender, Aboriginal status, number of youth detentions, and age at first youth detention.</w:t>
      </w:r>
      <w:r w:rsidRPr="00E34066">
        <w:rPr>
          <w:rFonts w:asciiTheme="minorHAnsi" w:hAnsiTheme="minorHAnsi" w:cs="Arial"/>
          <w:bCs/>
        </w:rPr>
        <w:t xml:space="preserve"> </w:t>
      </w:r>
      <w:r w:rsidRPr="00E34066">
        <w:rPr>
          <w:rFonts w:asciiTheme="minorHAnsi" w:hAnsiTheme="minorHAnsi" w:cs="Arial"/>
        </w:rPr>
        <w:t xml:space="preserve">Recidivism estimates are higher for males, Aboriginal youths, and youths with </w:t>
      </w:r>
      <w:r w:rsidR="00CD146B" w:rsidRPr="00E34066">
        <w:rPr>
          <w:rFonts w:asciiTheme="minorHAnsi" w:hAnsiTheme="minorHAnsi" w:cs="Arial"/>
        </w:rPr>
        <w:t>higher n</w:t>
      </w:r>
      <w:r w:rsidR="00CD146B" w:rsidRPr="00E34066">
        <w:rPr>
          <w:rFonts w:asciiTheme="minorHAnsi" w:hAnsiTheme="minorHAnsi" w:cs="Arial"/>
          <w:bCs/>
        </w:rPr>
        <w:t xml:space="preserve">umber of </w:t>
      </w:r>
      <w:r w:rsidR="00CD146B" w:rsidRPr="00E34066">
        <w:rPr>
          <w:rFonts w:asciiTheme="minorHAnsi" w:hAnsiTheme="minorHAnsi" w:cs="Arial"/>
        </w:rPr>
        <w:t>correctional episodes involving youth detention</w:t>
      </w:r>
      <w:r w:rsidRPr="00E34066">
        <w:rPr>
          <w:rFonts w:asciiTheme="minorHAnsi" w:hAnsiTheme="minorHAnsi" w:cs="Arial"/>
        </w:rPr>
        <w:t>. Analysis by age at first detention shows that those who had their first detention at age 17 have the highest chance of being received in adult custody, followed by those who were 11-13 and 14 years old at their first detention. This is contrary to the expected result, which is that the youths who started their criminal careers younger have higher recidivism than those who started later. It should be noted however that we did not distinguish between those who were received to adult prison due to new offending or due to violation of discharge conditions. The high recidivism rate for those 17 years old during their first detention could be explained by the fact that most of them were released to some form of supervision when they turned 18. Twenty-two per cent of those 17 years old were received in adult prison due to violation of their youth detention discharge conditions.</w:t>
      </w:r>
    </w:p>
    <w:p w:rsidR="00437D95" w:rsidRPr="00E34066" w:rsidRDefault="00437D95" w:rsidP="0049289D">
      <w:pPr>
        <w:spacing w:line="276" w:lineRule="auto"/>
        <w:rPr>
          <w:rFonts w:asciiTheme="minorHAnsi" w:hAnsiTheme="minorHAnsi" w:cs="Arial"/>
        </w:rPr>
      </w:pPr>
      <w:r w:rsidRPr="00E34066">
        <w:rPr>
          <w:rFonts w:asciiTheme="minorHAnsi" w:hAnsiTheme="minorHAnsi" w:cs="Arial"/>
        </w:rPr>
        <w:t>Cox proportional hazard regression analysis showed that the main predictors of entry into adult prison given prior youth detention are male gender and higher number of youth detentions. This result is fairly consistent with the result from previous studies which showed that the strongest predictors of entry to adult prison system are prior incarcerations (Benda, 2001) and male gender (</w:t>
      </w:r>
      <w:r w:rsidRPr="00E34066">
        <w:rPr>
          <w:rFonts w:asciiTheme="minorHAnsi" w:hAnsiTheme="minorHAnsi" w:cs="Arial"/>
          <w:shd w:val="clear" w:color="auto" w:fill="FFFFFF"/>
        </w:rPr>
        <w:t>Lynch et al., 2003). Although Lynch et al., 2003 shows that Aboriginal status is a predictor of sustaining a criminal career into adulthood, our result indicates otherwise. This dissimilarity, however, can be explained by the fact that 95</w:t>
      </w:r>
      <w:r w:rsidR="00E34066" w:rsidRPr="00E34066">
        <w:rPr>
          <w:rFonts w:asciiTheme="minorHAnsi" w:hAnsiTheme="minorHAnsi" w:cs="Arial"/>
          <w:shd w:val="clear" w:color="auto" w:fill="FFFFFF"/>
        </w:rPr>
        <w:t xml:space="preserve"> per cent of</w:t>
      </w:r>
      <w:r w:rsidRPr="00E34066">
        <w:rPr>
          <w:rFonts w:asciiTheme="minorHAnsi" w:hAnsiTheme="minorHAnsi" w:cs="Arial"/>
          <w:shd w:val="clear" w:color="auto" w:fill="FFFFFF"/>
        </w:rPr>
        <w:t xml:space="preserve"> our cohort are Aboriginal youths. </w:t>
      </w:r>
    </w:p>
    <w:p w:rsidR="00437D95" w:rsidRPr="0032339C" w:rsidRDefault="00437D95" w:rsidP="0049289D">
      <w:pPr>
        <w:pStyle w:val="Heading1"/>
        <w:spacing w:line="276" w:lineRule="auto"/>
        <w:rPr>
          <w:shd w:val="clear" w:color="auto" w:fill="FFFFFF"/>
        </w:rPr>
      </w:pPr>
      <w:bookmarkStart w:id="12" w:name="_Toc55569856"/>
      <w:r w:rsidRPr="0032339C">
        <w:rPr>
          <w:shd w:val="clear" w:color="auto" w:fill="FFFFFF"/>
        </w:rPr>
        <w:t>Conclusion</w:t>
      </w:r>
      <w:bookmarkEnd w:id="12"/>
      <w:r w:rsidRPr="0032339C">
        <w:rPr>
          <w:shd w:val="clear" w:color="auto" w:fill="FFFFFF"/>
        </w:rPr>
        <w:t xml:space="preserve"> </w:t>
      </w:r>
    </w:p>
    <w:p w:rsidR="0049289D" w:rsidRPr="00E50234" w:rsidRDefault="00437D95" w:rsidP="0049289D">
      <w:pPr>
        <w:spacing w:line="276" w:lineRule="auto"/>
        <w:rPr>
          <w:rFonts w:asciiTheme="minorHAnsi" w:hAnsiTheme="minorHAnsi" w:cs="Arial"/>
        </w:rPr>
      </w:pPr>
      <w:r w:rsidRPr="00E34066">
        <w:rPr>
          <w:rFonts w:asciiTheme="minorHAnsi" w:hAnsiTheme="minorHAnsi" w:cs="Arial"/>
        </w:rPr>
        <w:t>Of those discharged from their last youth detention episode, 61 per cent</w:t>
      </w:r>
      <w:r w:rsidRPr="00E34066">
        <w:rPr>
          <w:rFonts w:asciiTheme="minorHAnsi" w:hAnsiTheme="minorHAnsi" w:cs="Arial"/>
          <w:bCs/>
        </w:rPr>
        <w:t xml:space="preserve"> were estimated to enter the adult prison system within five years. The median time between discharge from detention and reception into adult custody was </w:t>
      </w:r>
      <w:r w:rsidR="00E34066" w:rsidRPr="00B8196A">
        <w:rPr>
          <w:rFonts w:asciiTheme="minorHAnsi" w:hAnsiTheme="minorHAnsi" w:cs="Arial"/>
        </w:rPr>
        <w:t>three years and four months</w:t>
      </w:r>
      <w:r w:rsidRPr="00E34066">
        <w:rPr>
          <w:rFonts w:asciiTheme="minorHAnsi" w:hAnsiTheme="minorHAnsi" w:cs="Arial"/>
          <w:bCs/>
        </w:rPr>
        <w:t>.  Consistent with previous studies, our analysis showed that the strongest</w:t>
      </w:r>
      <w:r w:rsidRPr="00E34066">
        <w:rPr>
          <w:rFonts w:asciiTheme="minorHAnsi" w:hAnsiTheme="minorHAnsi" w:cs="Arial"/>
        </w:rPr>
        <w:t xml:space="preserve"> predictors of recidivism are male gender (hazard ratio = 4.2) and higher number of youth detentions (hazard ratio = 1.2). </w:t>
      </w:r>
      <w:r w:rsidR="0049289D" w:rsidRPr="00B8196A">
        <w:rPr>
          <w:rFonts w:asciiTheme="minorHAnsi" w:hAnsiTheme="minorHAnsi"/>
        </w:rPr>
        <w:t>Males were 4.2 times as likely to enter the adult prison system as females</w:t>
      </w:r>
      <w:r w:rsidR="0049289D">
        <w:rPr>
          <w:rFonts w:asciiTheme="minorHAnsi" w:hAnsiTheme="minorHAnsi" w:cs="Arial"/>
        </w:rPr>
        <w:t xml:space="preserve">. </w:t>
      </w:r>
      <w:r w:rsidR="0049289D">
        <w:rPr>
          <w:rFonts w:asciiTheme="minorHAnsi" w:hAnsiTheme="minorHAnsi"/>
        </w:rPr>
        <w:t xml:space="preserve">Offenders with higher </w:t>
      </w:r>
      <w:r w:rsidR="0049289D" w:rsidRPr="00B8196A">
        <w:rPr>
          <w:rFonts w:asciiTheme="minorHAnsi" w:hAnsiTheme="minorHAnsi" w:cs="Arial"/>
        </w:rPr>
        <w:t xml:space="preserve">number of correctional episodes involving </w:t>
      </w:r>
      <w:r w:rsidR="0049289D">
        <w:rPr>
          <w:rFonts w:asciiTheme="minorHAnsi" w:hAnsiTheme="minorHAnsi" w:cs="Arial"/>
        </w:rPr>
        <w:t xml:space="preserve">youth </w:t>
      </w:r>
      <w:r w:rsidR="0049289D" w:rsidRPr="00B8196A">
        <w:rPr>
          <w:rFonts w:asciiTheme="minorHAnsi" w:hAnsiTheme="minorHAnsi" w:cs="Arial"/>
        </w:rPr>
        <w:t>detention</w:t>
      </w:r>
      <w:r w:rsidR="0049289D">
        <w:rPr>
          <w:rFonts w:asciiTheme="minorHAnsi" w:hAnsiTheme="minorHAnsi" w:cs="Arial"/>
        </w:rPr>
        <w:t xml:space="preserve"> </w:t>
      </w:r>
      <w:r w:rsidR="0049289D" w:rsidRPr="00B8196A">
        <w:rPr>
          <w:rFonts w:asciiTheme="minorHAnsi" w:hAnsiTheme="minorHAnsi"/>
        </w:rPr>
        <w:t xml:space="preserve">were </w:t>
      </w:r>
      <w:r w:rsidR="0049289D">
        <w:rPr>
          <w:rFonts w:asciiTheme="minorHAnsi" w:hAnsiTheme="minorHAnsi"/>
        </w:rPr>
        <w:t>1</w:t>
      </w:r>
      <w:r w:rsidR="0049289D" w:rsidRPr="00B8196A">
        <w:rPr>
          <w:rFonts w:asciiTheme="minorHAnsi" w:hAnsiTheme="minorHAnsi"/>
        </w:rPr>
        <w:t>.2 times as likely to enter the adult prison system as</w:t>
      </w:r>
      <w:r w:rsidR="0049289D">
        <w:rPr>
          <w:rFonts w:asciiTheme="minorHAnsi" w:hAnsiTheme="minorHAnsi"/>
        </w:rPr>
        <w:t xml:space="preserve"> those with lower number. </w:t>
      </w:r>
    </w:p>
    <w:p w:rsidR="00437D95" w:rsidRPr="00E34066" w:rsidRDefault="00437D95" w:rsidP="0049289D">
      <w:pPr>
        <w:spacing w:line="276" w:lineRule="auto"/>
        <w:rPr>
          <w:rFonts w:asciiTheme="minorHAnsi" w:hAnsiTheme="minorHAnsi" w:cs="Arial"/>
        </w:rPr>
      </w:pPr>
      <w:r w:rsidRPr="00E34066">
        <w:rPr>
          <w:rFonts w:asciiTheme="minorHAnsi" w:hAnsiTheme="minorHAnsi" w:cs="Arial"/>
          <w:shd w:val="clear" w:color="auto" w:fill="FFFFFF"/>
        </w:rPr>
        <w:t xml:space="preserve">This study can be improved by investigating more risk factors such as presence of a </w:t>
      </w:r>
      <w:r w:rsidRPr="00E34066">
        <w:rPr>
          <w:rFonts w:asciiTheme="minorHAnsi" w:hAnsiTheme="minorHAnsi" w:cs="Arial"/>
        </w:rPr>
        <w:t xml:space="preserve">childhood protection order, out of home placement, alcohol and drug abuse, family dysfunction, and other childhood variables. Including such data, as well as increasing the follow-up period, could improve our understanding of the issues involved for those who transition to adult prison and those who desist before adulthood. This would help in designing targeted interventions to discourage at-risk youths from continuing their criminal career into adulthood. </w:t>
      </w:r>
    </w:p>
    <w:p w:rsidR="00437D95" w:rsidRDefault="00437D95" w:rsidP="003F403C">
      <w:pPr>
        <w:pStyle w:val="Heading1"/>
      </w:pPr>
      <w:bookmarkStart w:id="13" w:name="_Toc55569857"/>
      <w:r w:rsidRPr="00A53CEC">
        <w:lastRenderedPageBreak/>
        <w:t>References</w:t>
      </w:r>
      <w:bookmarkEnd w:id="13"/>
    </w:p>
    <w:p w:rsidR="00437D95" w:rsidRPr="003F403C" w:rsidRDefault="00437D95" w:rsidP="00DD054B">
      <w:pPr>
        <w:ind w:left="720" w:hanging="720"/>
        <w:rPr>
          <w:rFonts w:asciiTheme="minorHAnsi" w:hAnsiTheme="minorHAnsi" w:cs="Arial"/>
          <w:color w:val="030309"/>
        </w:rPr>
      </w:pPr>
      <w:r w:rsidRPr="003F403C">
        <w:rPr>
          <w:rFonts w:asciiTheme="minorHAnsi" w:hAnsiTheme="minorHAnsi" w:cs="Arial"/>
          <w:color w:val="030309"/>
        </w:rPr>
        <w:t>Australian Institute of Health and Welfare</w:t>
      </w:r>
      <w:r w:rsidR="00BE5D76" w:rsidRPr="003F403C">
        <w:rPr>
          <w:rFonts w:asciiTheme="minorHAnsi" w:hAnsiTheme="minorHAnsi" w:cs="Arial"/>
          <w:color w:val="030309"/>
        </w:rPr>
        <w:t>.</w:t>
      </w:r>
      <w:r w:rsidRPr="003F403C">
        <w:rPr>
          <w:rFonts w:asciiTheme="minorHAnsi" w:hAnsiTheme="minorHAnsi" w:cs="Arial"/>
          <w:color w:val="030309"/>
        </w:rPr>
        <w:t xml:space="preserve"> </w:t>
      </w:r>
      <w:r w:rsidR="00BE5D76" w:rsidRPr="003F403C">
        <w:rPr>
          <w:rFonts w:asciiTheme="minorHAnsi" w:hAnsiTheme="minorHAnsi" w:cs="Arial"/>
          <w:color w:val="030309"/>
        </w:rPr>
        <w:t>(</w:t>
      </w:r>
      <w:r w:rsidRPr="003F403C">
        <w:rPr>
          <w:rFonts w:asciiTheme="minorHAnsi" w:hAnsiTheme="minorHAnsi" w:cs="Arial"/>
          <w:color w:val="030309"/>
        </w:rPr>
        <w:t>2020</w:t>
      </w:r>
      <w:r w:rsidR="00BE5D76" w:rsidRPr="003F403C">
        <w:rPr>
          <w:rFonts w:asciiTheme="minorHAnsi" w:hAnsiTheme="minorHAnsi" w:cs="Arial"/>
          <w:color w:val="030309"/>
        </w:rPr>
        <w:t>)</w:t>
      </w:r>
      <w:r w:rsidRPr="003F403C">
        <w:rPr>
          <w:rFonts w:asciiTheme="minorHAnsi" w:hAnsiTheme="minorHAnsi" w:cs="Arial"/>
          <w:color w:val="030309"/>
        </w:rPr>
        <w:t xml:space="preserve">. </w:t>
      </w:r>
      <w:r w:rsidRPr="003F403C">
        <w:rPr>
          <w:rFonts w:asciiTheme="minorHAnsi" w:hAnsiTheme="minorHAnsi" w:cs="Arial"/>
          <w:i/>
          <w:color w:val="030309"/>
        </w:rPr>
        <w:t>Young people returning to sentenced youth justice supervision 2018–19</w:t>
      </w:r>
      <w:r w:rsidRPr="003F403C">
        <w:rPr>
          <w:rFonts w:asciiTheme="minorHAnsi" w:hAnsiTheme="minorHAnsi" w:cs="Arial"/>
          <w:color w:val="030309"/>
        </w:rPr>
        <w:t>. Juvenile justice series no. 24. Cat. no. JUV 133. Canberra: AIHW.</w:t>
      </w:r>
    </w:p>
    <w:p w:rsidR="00437D95" w:rsidRPr="003F403C" w:rsidRDefault="00437D95" w:rsidP="00DD054B">
      <w:pPr>
        <w:ind w:left="720" w:hanging="720"/>
        <w:rPr>
          <w:rFonts w:asciiTheme="minorHAnsi" w:hAnsiTheme="minorHAnsi" w:cs="Arial"/>
          <w:color w:val="030309"/>
        </w:rPr>
      </w:pPr>
      <w:r w:rsidRPr="003F403C">
        <w:rPr>
          <w:rFonts w:asciiTheme="minorHAnsi" w:hAnsiTheme="minorHAnsi" w:cs="Arial"/>
          <w:color w:val="030309"/>
        </w:rPr>
        <w:t>Benda</w:t>
      </w:r>
      <w:r w:rsidR="00BE5D76" w:rsidRPr="003F403C">
        <w:rPr>
          <w:rFonts w:asciiTheme="minorHAnsi" w:hAnsiTheme="minorHAnsi" w:cs="Arial"/>
          <w:color w:val="030309"/>
        </w:rPr>
        <w:t>,</w:t>
      </w:r>
      <w:r w:rsidRPr="003F403C">
        <w:rPr>
          <w:rFonts w:asciiTheme="minorHAnsi" w:hAnsiTheme="minorHAnsi" w:cs="Arial"/>
          <w:color w:val="030309"/>
        </w:rPr>
        <w:t xml:space="preserve"> B</w:t>
      </w:r>
      <w:r w:rsidR="00BE5D76" w:rsidRPr="003F403C">
        <w:rPr>
          <w:rFonts w:asciiTheme="minorHAnsi" w:hAnsiTheme="minorHAnsi" w:cs="Arial"/>
          <w:color w:val="030309"/>
        </w:rPr>
        <w:t>.</w:t>
      </w:r>
      <w:r w:rsidRPr="003F403C">
        <w:rPr>
          <w:rFonts w:asciiTheme="minorHAnsi" w:hAnsiTheme="minorHAnsi" w:cs="Arial"/>
          <w:color w:val="030309"/>
        </w:rPr>
        <w:t>B</w:t>
      </w:r>
      <w:r w:rsidR="00BE5D76" w:rsidRPr="003F403C">
        <w:rPr>
          <w:rFonts w:asciiTheme="minorHAnsi" w:hAnsiTheme="minorHAnsi" w:cs="Arial"/>
          <w:color w:val="030309"/>
        </w:rPr>
        <w:t>.</w:t>
      </w:r>
      <w:r w:rsidRPr="003F403C">
        <w:rPr>
          <w:rFonts w:asciiTheme="minorHAnsi" w:hAnsiTheme="minorHAnsi" w:cs="Arial"/>
          <w:color w:val="030309"/>
        </w:rPr>
        <w:t>, Corwyn</w:t>
      </w:r>
      <w:r w:rsidR="00BE5D76" w:rsidRPr="003F403C">
        <w:rPr>
          <w:rFonts w:asciiTheme="minorHAnsi" w:hAnsiTheme="minorHAnsi" w:cs="Arial"/>
          <w:color w:val="030309"/>
        </w:rPr>
        <w:t>,</w:t>
      </w:r>
      <w:r w:rsidRPr="003F403C">
        <w:rPr>
          <w:rFonts w:asciiTheme="minorHAnsi" w:hAnsiTheme="minorHAnsi" w:cs="Arial"/>
          <w:color w:val="030309"/>
        </w:rPr>
        <w:t xml:space="preserve"> R</w:t>
      </w:r>
      <w:r w:rsidR="00BE5D76" w:rsidRPr="003F403C">
        <w:rPr>
          <w:rFonts w:asciiTheme="minorHAnsi" w:hAnsiTheme="minorHAnsi" w:cs="Arial"/>
          <w:color w:val="030309"/>
        </w:rPr>
        <w:t>.</w:t>
      </w:r>
      <w:r w:rsidRPr="003F403C">
        <w:rPr>
          <w:rFonts w:asciiTheme="minorHAnsi" w:hAnsiTheme="minorHAnsi" w:cs="Arial"/>
          <w:color w:val="030309"/>
        </w:rPr>
        <w:t>F</w:t>
      </w:r>
      <w:r w:rsidR="009A6A14">
        <w:rPr>
          <w:rFonts w:asciiTheme="minorHAnsi" w:hAnsiTheme="minorHAnsi" w:cs="Arial"/>
          <w:color w:val="030309"/>
        </w:rPr>
        <w:t>.</w:t>
      </w:r>
      <w:r w:rsidRPr="003F403C">
        <w:rPr>
          <w:rFonts w:asciiTheme="minorHAnsi" w:hAnsiTheme="minorHAnsi" w:cs="Arial"/>
          <w:color w:val="030309"/>
        </w:rPr>
        <w:t>, Toombs</w:t>
      </w:r>
      <w:r w:rsidR="00BE5D76" w:rsidRPr="003F403C">
        <w:rPr>
          <w:rFonts w:asciiTheme="minorHAnsi" w:hAnsiTheme="minorHAnsi" w:cs="Arial"/>
          <w:color w:val="030309"/>
        </w:rPr>
        <w:t>,</w:t>
      </w:r>
      <w:r w:rsidRPr="003F403C">
        <w:rPr>
          <w:rFonts w:asciiTheme="minorHAnsi" w:hAnsiTheme="minorHAnsi" w:cs="Arial"/>
          <w:color w:val="030309"/>
        </w:rPr>
        <w:t xml:space="preserve"> N</w:t>
      </w:r>
      <w:r w:rsidR="009A6A14">
        <w:rPr>
          <w:rFonts w:asciiTheme="minorHAnsi" w:hAnsiTheme="minorHAnsi" w:cs="Arial"/>
          <w:color w:val="030309"/>
        </w:rPr>
        <w:t>.</w:t>
      </w:r>
      <w:r w:rsidRPr="003F403C">
        <w:rPr>
          <w:rFonts w:asciiTheme="minorHAnsi" w:hAnsiTheme="minorHAnsi" w:cs="Arial"/>
          <w:color w:val="030309"/>
        </w:rPr>
        <w:t xml:space="preserve">J. </w:t>
      </w:r>
      <w:r w:rsidR="00BE5D76" w:rsidRPr="003F403C">
        <w:rPr>
          <w:rFonts w:asciiTheme="minorHAnsi" w:hAnsiTheme="minorHAnsi" w:cs="Arial"/>
          <w:color w:val="030309"/>
        </w:rPr>
        <w:t xml:space="preserve">(2001). </w:t>
      </w:r>
      <w:r w:rsidRPr="003F403C">
        <w:rPr>
          <w:rFonts w:asciiTheme="minorHAnsi" w:hAnsiTheme="minorHAnsi" w:cs="Arial"/>
          <w:color w:val="030309"/>
        </w:rPr>
        <w:t xml:space="preserve">Recidivism among adolescent serious offenders: Prediction of entry into the correctional system for adults. </w:t>
      </w:r>
      <w:r w:rsidR="00BE5D76" w:rsidRPr="003F403C">
        <w:rPr>
          <w:rFonts w:asciiTheme="minorHAnsi" w:hAnsiTheme="minorHAnsi" w:cs="Arial"/>
          <w:i/>
          <w:color w:val="030309"/>
        </w:rPr>
        <w:t xml:space="preserve">Criminal Justice and Behavior, </w:t>
      </w:r>
      <w:r w:rsidRPr="003F403C">
        <w:rPr>
          <w:rFonts w:asciiTheme="minorHAnsi" w:hAnsiTheme="minorHAnsi" w:cs="Arial"/>
          <w:color w:val="030309"/>
        </w:rPr>
        <w:t>28</w:t>
      </w:r>
      <w:r w:rsidR="00BE5D76" w:rsidRPr="003F403C">
        <w:rPr>
          <w:rFonts w:asciiTheme="minorHAnsi" w:hAnsiTheme="minorHAnsi" w:cs="Arial"/>
          <w:color w:val="030309"/>
        </w:rPr>
        <w:t xml:space="preserve">, </w:t>
      </w:r>
      <w:r w:rsidRPr="003F403C">
        <w:rPr>
          <w:rFonts w:asciiTheme="minorHAnsi" w:hAnsiTheme="minorHAnsi" w:cs="Arial"/>
          <w:color w:val="030309"/>
        </w:rPr>
        <w:t>588–613.</w:t>
      </w:r>
    </w:p>
    <w:p w:rsidR="00437D95" w:rsidRPr="003F403C" w:rsidRDefault="00437D95" w:rsidP="00DD054B">
      <w:pPr>
        <w:ind w:left="720" w:hanging="720"/>
        <w:rPr>
          <w:rFonts w:asciiTheme="minorHAnsi" w:hAnsiTheme="minorHAnsi" w:cs="Arial"/>
          <w:color w:val="030309"/>
          <w:shd w:val="clear" w:color="auto" w:fill="FFFFFF"/>
        </w:rPr>
      </w:pPr>
      <w:r w:rsidRPr="003F403C">
        <w:rPr>
          <w:rFonts w:asciiTheme="minorHAnsi" w:hAnsiTheme="minorHAnsi" w:cs="Arial"/>
          <w:color w:val="030309"/>
          <w:shd w:val="clear" w:color="auto" w:fill="FFFFFF"/>
        </w:rPr>
        <w:t xml:space="preserve">Blumstein, A., Cohen, J., </w:t>
      </w:r>
      <w:r w:rsidR="003F403C" w:rsidRPr="003F403C">
        <w:rPr>
          <w:rFonts w:asciiTheme="minorHAnsi" w:hAnsiTheme="minorHAnsi" w:cs="Arial"/>
          <w:color w:val="030309"/>
          <w:shd w:val="clear" w:color="auto" w:fill="FFFFFF"/>
        </w:rPr>
        <w:t>Roth, J.A. &amp; Visher, C.A. (eds). (</w:t>
      </w:r>
      <w:r w:rsidRPr="003F403C">
        <w:rPr>
          <w:rFonts w:asciiTheme="minorHAnsi" w:hAnsiTheme="minorHAnsi" w:cs="Arial"/>
          <w:color w:val="030309"/>
          <w:shd w:val="clear" w:color="auto" w:fill="FFFFFF"/>
        </w:rPr>
        <w:t>1986</w:t>
      </w:r>
      <w:r w:rsidR="003F403C" w:rsidRPr="003F403C">
        <w:rPr>
          <w:rFonts w:asciiTheme="minorHAnsi" w:hAnsiTheme="minorHAnsi" w:cs="Arial"/>
          <w:color w:val="030309"/>
          <w:shd w:val="clear" w:color="auto" w:fill="FFFFFF"/>
        </w:rPr>
        <w:t>).</w:t>
      </w:r>
      <w:r w:rsidRPr="003F403C">
        <w:rPr>
          <w:rFonts w:asciiTheme="minorHAnsi" w:hAnsiTheme="minorHAnsi" w:cs="Arial"/>
          <w:color w:val="030309"/>
          <w:shd w:val="clear" w:color="auto" w:fill="FFFFFF"/>
        </w:rPr>
        <w:t xml:space="preserve"> </w:t>
      </w:r>
      <w:r w:rsidRPr="003F403C">
        <w:rPr>
          <w:rFonts w:asciiTheme="minorHAnsi" w:hAnsiTheme="minorHAnsi" w:cs="Arial"/>
          <w:i/>
          <w:color w:val="030309"/>
          <w:shd w:val="clear" w:color="auto" w:fill="FFFFFF"/>
        </w:rPr>
        <w:t>Criminal Careers and Career Criminals</w:t>
      </w:r>
      <w:r w:rsidRPr="003F403C">
        <w:rPr>
          <w:rFonts w:asciiTheme="minorHAnsi" w:hAnsiTheme="minorHAnsi" w:cs="Arial"/>
          <w:color w:val="030309"/>
          <w:shd w:val="clear" w:color="auto" w:fill="FFFFFF"/>
        </w:rPr>
        <w:t>, vol. 1, National Academy Press, Washington DC.</w:t>
      </w:r>
    </w:p>
    <w:p w:rsidR="00437D95" w:rsidRPr="003F403C" w:rsidRDefault="00BE5D76" w:rsidP="00DD054B">
      <w:pPr>
        <w:ind w:left="720" w:hanging="720"/>
        <w:rPr>
          <w:rFonts w:asciiTheme="minorHAnsi" w:hAnsiTheme="minorHAnsi" w:cs="Arial"/>
          <w:color w:val="030309"/>
          <w:shd w:val="clear" w:color="auto" w:fill="FFFFFF"/>
        </w:rPr>
      </w:pPr>
      <w:r w:rsidRPr="003F403C">
        <w:rPr>
          <w:rFonts w:asciiTheme="minorHAnsi" w:hAnsiTheme="minorHAnsi" w:cs="Arial"/>
          <w:color w:val="030309"/>
          <w:shd w:val="clear" w:color="auto" w:fill="FFFFFF"/>
        </w:rPr>
        <w:t>Chen, S., Matruglio, T., Weatherburn, D., &amp; Hua, J. (2005)</w:t>
      </w:r>
      <w:r w:rsidR="00437D95" w:rsidRPr="003F403C">
        <w:rPr>
          <w:rFonts w:asciiTheme="minorHAnsi" w:hAnsiTheme="minorHAnsi" w:cs="Arial"/>
          <w:color w:val="030309"/>
          <w:shd w:val="clear" w:color="auto" w:fill="FFFFFF"/>
        </w:rPr>
        <w:t xml:space="preserve">. </w:t>
      </w:r>
      <w:r w:rsidRPr="003F403C">
        <w:rPr>
          <w:rFonts w:asciiTheme="minorHAnsi" w:hAnsiTheme="minorHAnsi" w:cs="Arial"/>
          <w:color w:val="030309"/>
          <w:shd w:val="clear" w:color="auto" w:fill="FFFFFF"/>
        </w:rPr>
        <w:t>The t</w:t>
      </w:r>
      <w:r w:rsidR="00437D95" w:rsidRPr="003F403C">
        <w:rPr>
          <w:rFonts w:asciiTheme="minorHAnsi" w:hAnsiTheme="minorHAnsi" w:cs="Arial"/>
          <w:color w:val="030309"/>
          <w:shd w:val="clear" w:color="auto" w:fill="FFFFFF"/>
        </w:rPr>
        <w:t>ransition from Juvenil</w:t>
      </w:r>
      <w:r w:rsidRPr="003F403C">
        <w:rPr>
          <w:rFonts w:asciiTheme="minorHAnsi" w:hAnsiTheme="minorHAnsi" w:cs="Arial"/>
          <w:color w:val="030309"/>
          <w:shd w:val="clear" w:color="auto" w:fill="FFFFFF"/>
        </w:rPr>
        <w:t>e to Adult Criminal Careers</w:t>
      </w:r>
      <w:r w:rsidR="00437D95" w:rsidRPr="003F403C">
        <w:rPr>
          <w:rFonts w:asciiTheme="minorHAnsi" w:hAnsiTheme="minorHAnsi" w:cs="Arial"/>
          <w:color w:val="030309"/>
          <w:shd w:val="clear" w:color="auto" w:fill="FFFFFF"/>
        </w:rPr>
        <w:t xml:space="preserve">. In </w:t>
      </w:r>
      <w:r w:rsidR="00437D95" w:rsidRPr="003F403C">
        <w:rPr>
          <w:rStyle w:val="Emphasis"/>
          <w:rFonts w:asciiTheme="minorHAnsi" w:hAnsiTheme="minorHAnsi" w:cs="Arial"/>
          <w:color w:val="030309"/>
        </w:rPr>
        <w:t>Crime and justice bulletin: contemporary issues in crime and justice; ISSN: 1030-</w:t>
      </w:r>
      <w:r w:rsidR="00AF5F00" w:rsidRPr="003F403C">
        <w:rPr>
          <w:rStyle w:val="Emphasis"/>
          <w:rFonts w:asciiTheme="minorHAnsi" w:hAnsiTheme="minorHAnsi" w:cs="Arial"/>
          <w:color w:val="030309"/>
        </w:rPr>
        <w:t>1046;</w:t>
      </w:r>
      <w:r w:rsidR="00437D95" w:rsidRPr="003F403C">
        <w:rPr>
          <w:rStyle w:val="Emphasis"/>
          <w:rFonts w:asciiTheme="minorHAnsi" w:hAnsiTheme="minorHAnsi" w:cs="Arial"/>
          <w:color w:val="030309"/>
        </w:rPr>
        <w:t xml:space="preserve"> no. 86</w:t>
      </w:r>
      <w:r w:rsidR="00437D95" w:rsidRPr="003F403C">
        <w:rPr>
          <w:rFonts w:asciiTheme="minorHAnsi" w:hAnsiTheme="minorHAnsi" w:cs="Arial"/>
          <w:color w:val="030309"/>
          <w:shd w:val="clear" w:color="auto" w:fill="FFFFFF"/>
        </w:rPr>
        <w:t>. 12 p.</w:t>
      </w:r>
    </w:p>
    <w:p w:rsidR="00437D95" w:rsidRPr="003F403C" w:rsidRDefault="00437D95" w:rsidP="00DD054B">
      <w:pPr>
        <w:ind w:left="720" w:hanging="720"/>
        <w:rPr>
          <w:rFonts w:asciiTheme="minorHAnsi" w:hAnsiTheme="minorHAnsi" w:cs="Arial"/>
          <w:color w:val="030309"/>
        </w:rPr>
      </w:pPr>
      <w:r w:rsidRPr="003F403C">
        <w:rPr>
          <w:rFonts w:asciiTheme="minorHAnsi" w:hAnsiTheme="minorHAnsi" w:cs="Arial"/>
          <w:color w:val="030309"/>
        </w:rPr>
        <w:t xml:space="preserve">Cox, D. R. 1972. “Regression Models and Life Tables (with Discussion).” </w:t>
      </w:r>
      <w:r w:rsidRPr="003F403C">
        <w:rPr>
          <w:rFonts w:asciiTheme="minorHAnsi" w:hAnsiTheme="minorHAnsi" w:cs="Arial"/>
          <w:i/>
          <w:color w:val="030309"/>
        </w:rPr>
        <w:t>Journal of the Royal Statistical Society</w:t>
      </w:r>
      <w:r w:rsidRPr="003F403C">
        <w:rPr>
          <w:rFonts w:asciiTheme="minorHAnsi" w:hAnsiTheme="minorHAnsi" w:cs="Arial"/>
          <w:color w:val="030309"/>
        </w:rPr>
        <w:t>, Series B 34:187—220.</w:t>
      </w:r>
    </w:p>
    <w:p w:rsidR="00437D95" w:rsidRPr="003F403C" w:rsidRDefault="00437D95" w:rsidP="00DD054B">
      <w:pPr>
        <w:autoSpaceDE w:val="0"/>
        <w:autoSpaceDN w:val="0"/>
        <w:adjustRightInd w:val="0"/>
        <w:spacing w:after="0"/>
        <w:ind w:left="720" w:hanging="720"/>
        <w:rPr>
          <w:rFonts w:asciiTheme="minorHAnsi" w:hAnsiTheme="minorHAnsi" w:cs="Arial"/>
          <w:color w:val="030309"/>
        </w:rPr>
      </w:pPr>
      <w:r w:rsidRPr="003F403C">
        <w:rPr>
          <w:rFonts w:asciiTheme="minorHAnsi" w:hAnsiTheme="minorHAnsi" w:cs="Arial"/>
          <w:color w:val="030309"/>
        </w:rPr>
        <w:t>Farrington, D</w:t>
      </w:r>
      <w:r w:rsidR="00BE5D76" w:rsidRPr="003F403C">
        <w:rPr>
          <w:rFonts w:asciiTheme="minorHAnsi" w:hAnsiTheme="minorHAnsi" w:cs="Arial"/>
          <w:color w:val="030309"/>
        </w:rPr>
        <w:t xml:space="preserve">. </w:t>
      </w:r>
      <w:r w:rsidRPr="003F403C">
        <w:rPr>
          <w:rFonts w:asciiTheme="minorHAnsi" w:hAnsiTheme="minorHAnsi" w:cs="Arial"/>
          <w:color w:val="030309"/>
        </w:rPr>
        <w:t xml:space="preserve">P. </w:t>
      </w:r>
      <w:r w:rsidR="00BE5D76" w:rsidRPr="003F403C">
        <w:rPr>
          <w:rFonts w:asciiTheme="minorHAnsi" w:hAnsiTheme="minorHAnsi" w:cs="Arial"/>
          <w:color w:val="030309"/>
        </w:rPr>
        <w:t xml:space="preserve">(1986). </w:t>
      </w:r>
      <w:r w:rsidRPr="003F403C">
        <w:rPr>
          <w:rFonts w:asciiTheme="minorHAnsi" w:hAnsiTheme="minorHAnsi" w:cs="Arial"/>
          <w:i/>
          <w:color w:val="030309"/>
        </w:rPr>
        <w:t>Age and crime</w:t>
      </w:r>
      <w:r w:rsidRPr="003F403C">
        <w:rPr>
          <w:rFonts w:asciiTheme="minorHAnsi" w:hAnsiTheme="minorHAnsi" w:cs="Arial"/>
          <w:color w:val="030309"/>
        </w:rPr>
        <w:t>. In: Tonry, M.; Morris, N., editors. Crime and Justice: An Annual Review of Research. Vol. 7. Chicago IL: University of Chicago Press; p. 189-250.</w:t>
      </w:r>
    </w:p>
    <w:p w:rsidR="00BE5D76" w:rsidRPr="003F403C" w:rsidRDefault="00BE5D76" w:rsidP="00DD054B">
      <w:pPr>
        <w:autoSpaceDE w:val="0"/>
        <w:autoSpaceDN w:val="0"/>
        <w:adjustRightInd w:val="0"/>
        <w:spacing w:after="0"/>
        <w:ind w:left="720" w:hanging="720"/>
        <w:rPr>
          <w:rFonts w:asciiTheme="minorHAnsi" w:hAnsiTheme="minorHAnsi" w:cs="Arial"/>
          <w:color w:val="030309"/>
        </w:rPr>
      </w:pPr>
    </w:p>
    <w:p w:rsidR="00437D95" w:rsidRPr="003F403C" w:rsidRDefault="00BE5D76" w:rsidP="00DD054B">
      <w:pPr>
        <w:ind w:left="720" w:hanging="720"/>
        <w:rPr>
          <w:rFonts w:asciiTheme="minorHAnsi" w:hAnsiTheme="minorHAnsi" w:cs="Arial"/>
          <w:color w:val="030309"/>
        </w:rPr>
      </w:pPr>
      <w:r w:rsidRPr="003F403C">
        <w:rPr>
          <w:rFonts w:asciiTheme="minorHAnsi" w:hAnsiTheme="minorHAnsi" w:cs="Arial"/>
          <w:color w:val="030309"/>
        </w:rPr>
        <w:t>Kleinbaum, D. G. &amp; Klein, M.</w:t>
      </w:r>
      <w:r w:rsidR="00437D95" w:rsidRPr="003F403C">
        <w:rPr>
          <w:rFonts w:asciiTheme="minorHAnsi" w:hAnsiTheme="minorHAnsi" w:cs="Arial"/>
          <w:color w:val="030309"/>
        </w:rPr>
        <w:t xml:space="preserve"> (2005). </w:t>
      </w:r>
      <w:r w:rsidR="00437D95" w:rsidRPr="003F403C">
        <w:rPr>
          <w:rFonts w:asciiTheme="minorHAnsi" w:hAnsiTheme="minorHAnsi" w:cs="Arial"/>
          <w:i/>
          <w:color w:val="030309"/>
        </w:rPr>
        <w:t>Survival Analysis: A Self-Learning Text</w:t>
      </w:r>
      <w:r w:rsidR="00437D95" w:rsidRPr="003F403C">
        <w:rPr>
          <w:rFonts w:asciiTheme="minorHAnsi" w:hAnsiTheme="minorHAnsi" w:cs="Arial"/>
          <w:color w:val="030309"/>
        </w:rPr>
        <w:t>. 10.1007/0-387-29150-4.</w:t>
      </w:r>
    </w:p>
    <w:p w:rsidR="00437D95" w:rsidRPr="003F403C" w:rsidRDefault="00437D95" w:rsidP="00DD054B">
      <w:pPr>
        <w:ind w:left="720" w:hanging="720"/>
        <w:rPr>
          <w:rFonts w:asciiTheme="minorHAnsi" w:hAnsiTheme="minorHAnsi" w:cs="Arial"/>
          <w:color w:val="030309"/>
        </w:rPr>
      </w:pPr>
      <w:r w:rsidRPr="003F403C">
        <w:rPr>
          <w:rFonts w:asciiTheme="minorHAnsi" w:hAnsiTheme="minorHAnsi" w:cs="Arial"/>
          <w:color w:val="030309"/>
        </w:rPr>
        <w:t>Lynch</w:t>
      </w:r>
      <w:r w:rsidR="00BE5D76" w:rsidRPr="003F403C">
        <w:rPr>
          <w:rFonts w:asciiTheme="minorHAnsi" w:hAnsiTheme="minorHAnsi" w:cs="Arial"/>
          <w:color w:val="030309"/>
        </w:rPr>
        <w:t>,</w:t>
      </w:r>
      <w:r w:rsidRPr="003F403C">
        <w:rPr>
          <w:rFonts w:asciiTheme="minorHAnsi" w:hAnsiTheme="minorHAnsi" w:cs="Arial"/>
          <w:color w:val="030309"/>
        </w:rPr>
        <w:t xml:space="preserve"> M</w:t>
      </w:r>
      <w:r w:rsidR="00BE5D76" w:rsidRPr="003F403C">
        <w:rPr>
          <w:rFonts w:asciiTheme="minorHAnsi" w:hAnsiTheme="minorHAnsi" w:cs="Arial"/>
          <w:color w:val="030309"/>
        </w:rPr>
        <w:t>.</w:t>
      </w:r>
      <w:r w:rsidRPr="003F403C">
        <w:rPr>
          <w:rFonts w:asciiTheme="minorHAnsi" w:hAnsiTheme="minorHAnsi" w:cs="Arial"/>
          <w:color w:val="030309"/>
        </w:rPr>
        <w:t>, Buckman</w:t>
      </w:r>
      <w:r w:rsidR="00BE5D76" w:rsidRPr="003F403C">
        <w:rPr>
          <w:rFonts w:asciiTheme="minorHAnsi" w:hAnsiTheme="minorHAnsi" w:cs="Arial"/>
          <w:color w:val="030309"/>
        </w:rPr>
        <w:t>,</w:t>
      </w:r>
      <w:r w:rsidRPr="003F403C">
        <w:rPr>
          <w:rFonts w:asciiTheme="minorHAnsi" w:hAnsiTheme="minorHAnsi" w:cs="Arial"/>
          <w:color w:val="030309"/>
        </w:rPr>
        <w:t xml:space="preserve"> J</w:t>
      </w:r>
      <w:r w:rsidR="00BE5D76" w:rsidRPr="003F403C">
        <w:rPr>
          <w:rFonts w:asciiTheme="minorHAnsi" w:hAnsiTheme="minorHAnsi" w:cs="Arial"/>
          <w:color w:val="030309"/>
        </w:rPr>
        <w:t>.</w:t>
      </w:r>
      <w:r w:rsidRPr="003F403C">
        <w:rPr>
          <w:rFonts w:asciiTheme="minorHAnsi" w:hAnsiTheme="minorHAnsi" w:cs="Arial"/>
          <w:color w:val="030309"/>
        </w:rPr>
        <w:t xml:space="preserve"> &amp; Krenske</w:t>
      </w:r>
      <w:r w:rsidR="00BE5D76" w:rsidRPr="003F403C">
        <w:rPr>
          <w:rFonts w:asciiTheme="minorHAnsi" w:hAnsiTheme="minorHAnsi" w:cs="Arial"/>
          <w:color w:val="030309"/>
        </w:rPr>
        <w:t>,</w:t>
      </w:r>
      <w:r w:rsidRPr="003F403C">
        <w:rPr>
          <w:rFonts w:asciiTheme="minorHAnsi" w:hAnsiTheme="minorHAnsi" w:cs="Arial"/>
          <w:color w:val="030309"/>
        </w:rPr>
        <w:t xml:space="preserve"> L</w:t>
      </w:r>
      <w:r w:rsidR="00BE5D76" w:rsidRPr="003F403C">
        <w:rPr>
          <w:rFonts w:asciiTheme="minorHAnsi" w:hAnsiTheme="minorHAnsi" w:cs="Arial"/>
          <w:color w:val="030309"/>
        </w:rPr>
        <w:t>. (</w:t>
      </w:r>
      <w:r w:rsidRPr="003F403C">
        <w:rPr>
          <w:rFonts w:asciiTheme="minorHAnsi" w:hAnsiTheme="minorHAnsi" w:cs="Arial"/>
          <w:color w:val="030309"/>
        </w:rPr>
        <w:t>2003</w:t>
      </w:r>
      <w:r w:rsidR="00BE5D76" w:rsidRPr="003F403C">
        <w:rPr>
          <w:rFonts w:asciiTheme="minorHAnsi" w:hAnsiTheme="minorHAnsi" w:cs="Arial"/>
          <w:color w:val="030309"/>
        </w:rPr>
        <w:t>)</w:t>
      </w:r>
      <w:r w:rsidRPr="003F403C">
        <w:rPr>
          <w:rFonts w:asciiTheme="minorHAnsi" w:hAnsiTheme="minorHAnsi" w:cs="Arial"/>
          <w:color w:val="030309"/>
        </w:rPr>
        <w:t xml:space="preserve">. Youth justice: criminal trajectories. </w:t>
      </w:r>
      <w:r w:rsidRPr="003F403C">
        <w:rPr>
          <w:rFonts w:asciiTheme="minorHAnsi" w:hAnsiTheme="minorHAnsi" w:cs="Arial"/>
          <w:i/>
          <w:color w:val="030309"/>
        </w:rPr>
        <w:t xml:space="preserve">Trends &amp; issues in crime and criminal justice </w:t>
      </w:r>
      <w:r w:rsidRPr="003F403C">
        <w:rPr>
          <w:rFonts w:asciiTheme="minorHAnsi" w:hAnsiTheme="minorHAnsi" w:cs="Arial"/>
          <w:color w:val="030309"/>
        </w:rPr>
        <w:t>no. 265. Canberra: Australian Institute of Criminology. https://www.aic.gov.au/publications/tandi/tandi265</w:t>
      </w:r>
    </w:p>
    <w:p w:rsidR="00437D95" w:rsidRPr="003F403C" w:rsidRDefault="00437D95" w:rsidP="00DD054B">
      <w:pPr>
        <w:ind w:left="720" w:hanging="720"/>
        <w:rPr>
          <w:rFonts w:asciiTheme="minorHAnsi" w:hAnsiTheme="minorHAnsi" w:cs="Arial"/>
          <w:color w:val="030309"/>
          <w:shd w:val="clear" w:color="auto" w:fill="FFFFFF"/>
        </w:rPr>
      </w:pPr>
      <w:r w:rsidRPr="003F403C">
        <w:rPr>
          <w:rFonts w:asciiTheme="minorHAnsi" w:hAnsiTheme="minorHAnsi" w:cs="Arial"/>
          <w:color w:val="030309"/>
          <w:shd w:val="clear" w:color="auto" w:fill="FFFFFF"/>
        </w:rPr>
        <w:t xml:space="preserve">Moffitt, T. E. (1993). Adolescence-limited and life-course-persistent antisocial behavior: A developmental taxonomy. </w:t>
      </w:r>
      <w:r w:rsidRPr="003F403C">
        <w:rPr>
          <w:rStyle w:val="Emphasis"/>
          <w:rFonts w:asciiTheme="minorHAnsi" w:hAnsiTheme="minorHAnsi" w:cs="Arial"/>
          <w:color w:val="030309"/>
        </w:rPr>
        <w:t>Psychological Review, 100</w:t>
      </w:r>
      <w:r w:rsidRPr="003F403C">
        <w:rPr>
          <w:rFonts w:asciiTheme="minorHAnsi" w:hAnsiTheme="minorHAnsi" w:cs="Arial"/>
          <w:color w:val="030309"/>
          <w:shd w:val="clear" w:color="auto" w:fill="FFFFFF"/>
        </w:rPr>
        <w:t xml:space="preserve">(4), 674–701. </w:t>
      </w:r>
      <w:hyperlink r:id="rId26" w:tgtFrame="_blank" w:history="1">
        <w:r w:rsidRPr="003F403C">
          <w:rPr>
            <w:rStyle w:val="Hyperlink"/>
            <w:rFonts w:asciiTheme="minorHAnsi" w:hAnsiTheme="minorHAnsi" w:cs="Arial"/>
            <w:color w:val="030309"/>
          </w:rPr>
          <w:t>https://doi.org/10.1037/0033-295X.100.4.674</w:t>
        </w:r>
      </w:hyperlink>
    </w:p>
    <w:p w:rsidR="00437D95" w:rsidRPr="003F403C" w:rsidRDefault="00437D95" w:rsidP="00DD054B">
      <w:pPr>
        <w:pStyle w:val="Default"/>
        <w:ind w:left="720" w:hanging="720"/>
        <w:rPr>
          <w:rFonts w:asciiTheme="minorHAnsi" w:hAnsiTheme="minorHAnsi" w:cs="Arial"/>
          <w:color w:val="030309"/>
          <w:sz w:val="22"/>
          <w:szCs w:val="22"/>
        </w:rPr>
      </w:pPr>
      <w:r w:rsidRPr="003F403C">
        <w:rPr>
          <w:rFonts w:asciiTheme="minorHAnsi" w:hAnsiTheme="minorHAnsi" w:cs="Arial"/>
          <w:color w:val="030309"/>
          <w:sz w:val="22"/>
          <w:szCs w:val="22"/>
        </w:rPr>
        <w:t>Moffitt</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xml:space="preserve"> T</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E</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Caspi</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xml:space="preserve"> A</w:t>
      </w:r>
      <w:r w:rsidR="009A6A14">
        <w:rPr>
          <w:rFonts w:asciiTheme="minorHAnsi" w:hAnsiTheme="minorHAnsi" w:cs="Arial"/>
          <w:color w:val="030309"/>
          <w:sz w:val="22"/>
          <w:szCs w:val="22"/>
        </w:rPr>
        <w:t>.,</w:t>
      </w:r>
      <w:r w:rsidRPr="003F403C">
        <w:rPr>
          <w:rFonts w:asciiTheme="minorHAnsi" w:hAnsiTheme="minorHAnsi" w:cs="Arial"/>
          <w:color w:val="030309"/>
          <w:sz w:val="22"/>
          <w:szCs w:val="22"/>
        </w:rPr>
        <w:t xml:space="preserve"> Dickson</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xml:space="preserve"> N</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Silva</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xml:space="preserve"> P</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Stanton</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xml:space="preserve"> W. </w:t>
      </w:r>
      <w:r w:rsidR="00BE5D76" w:rsidRPr="003F403C">
        <w:rPr>
          <w:rFonts w:asciiTheme="minorHAnsi" w:hAnsiTheme="minorHAnsi" w:cs="Arial"/>
          <w:color w:val="030309"/>
          <w:sz w:val="22"/>
          <w:szCs w:val="22"/>
        </w:rPr>
        <w:t xml:space="preserve">(1996). </w:t>
      </w:r>
      <w:r w:rsidRPr="003F403C">
        <w:rPr>
          <w:rFonts w:asciiTheme="minorHAnsi" w:hAnsiTheme="minorHAnsi" w:cs="Arial"/>
          <w:color w:val="030309"/>
          <w:sz w:val="22"/>
          <w:szCs w:val="22"/>
        </w:rPr>
        <w:t xml:space="preserve">Childhood-onset versus adolescent-onset antisocial conduct problems in males: Natural history from ages 3 to 18 years. </w:t>
      </w:r>
      <w:r w:rsidRPr="003F403C">
        <w:rPr>
          <w:rFonts w:asciiTheme="minorHAnsi" w:hAnsiTheme="minorHAnsi" w:cs="Arial"/>
          <w:i/>
          <w:color w:val="030309"/>
          <w:sz w:val="22"/>
          <w:szCs w:val="22"/>
        </w:rPr>
        <w:t>Development and Psychopathology</w:t>
      </w:r>
      <w:r w:rsidR="00BE5D76" w:rsidRPr="003F403C">
        <w:rPr>
          <w:rFonts w:asciiTheme="minorHAnsi" w:hAnsiTheme="minorHAnsi" w:cs="Arial"/>
          <w:color w:val="030309"/>
          <w:sz w:val="22"/>
          <w:szCs w:val="22"/>
        </w:rPr>
        <w:t>, 8:399</w:t>
      </w:r>
      <w:r w:rsidRPr="003F403C">
        <w:rPr>
          <w:rFonts w:asciiTheme="minorHAnsi" w:hAnsiTheme="minorHAnsi" w:cs="Arial"/>
          <w:color w:val="030309"/>
          <w:sz w:val="22"/>
          <w:szCs w:val="22"/>
        </w:rPr>
        <w:t>–424.</w:t>
      </w:r>
    </w:p>
    <w:p w:rsidR="00BE5D76" w:rsidRPr="003F403C" w:rsidRDefault="00BE5D76" w:rsidP="00DD054B">
      <w:pPr>
        <w:pStyle w:val="Default"/>
        <w:ind w:left="720" w:hanging="720"/>
        <w:rPr>
          <w:rFonts w:asciiTheme="minorHAnsi" w:hAnsiTheme="minorHAnsi" w:cs="Arial"/>
          <w:color w:val="030309"/>
          <w:sz w:val="22"/>
          <w:szCs w:val="22"/>
        </w:rPr>
      </w:pPr>
    </w:p>
    <w:p w:rsidR="00437D95" w:rsidRPr="003F403C" w:rsidRDefault="00437D95" w:rsidP="00DD054B">
      <w:pPr>
        <w:ind w:left="720" w:hanging="720"/>
        <w:rPr>
          <w:rFonts w:asciiTheme="minorHAnsi" w:hAnsiTheme="minorHAnsi" w:cs="Arial"/>
          <w:color w:val="030309"/>
        </w:rPr>
      </w:pPr>
      <w:r w:rsidRPr="003F403C">
        <w:rPr>
          <w:rFonts w:asciiTheme="minorHAnsi" w:hAnsiTheme="minorHAnsi" w:cs="Arial"/>
          <w:color w:val="030309"/>
        </w:rPr>
        <w:t>Piquero</w:t>
      </w:r>
      <w:r w:rsidR="00BE5D76" w:rsidRPr="003F403C">
        <w:rPr>
          <w:rFonts w:asciiTheme="minorHAnsi" w:hAnsiTheme="minorHAnsi" w:cs="Arial"/>
          <w:color w:val="030309"/>
        </w:rPr>
        <w:t>,</w:t>
      </w:r>
      <w:r w:rsidRPr="003F403C">
        <w:rPr>
          <w:rFonts w:asciiTheme="minorHAnsi" w:hAnsiTheme="minorHAnsi" w:cs="Arial"/>
          <w:color w:val="030309"/>
        </w:rPr>
        <w:t xml:space="preserve"> A</w:t>
      </w:r>
      <w:r w:rsidR="00BE5D76" w:rsidRPr="003F403C">
        <w:rPr>
          <w:rFonts w:asciiTheme="minorHAnsi" w:hAnsiTheme="minorHAnsi" w:cs="Arial"/>
          <w:color w:val="030309"/>
        </w:rPr>
        <w:t>.</w:t>
      </w:r>
      <w:r w:rsidRPr="003F403C">
        <w:rPr>
          <w:rFonts w:asciiTheme="minorHAnsi" w:hAnsiTheme="minorHAnsi" w:cs="Arial"/>
          <w:color w:val="030309"/>
        </w:rPr>
        <w:t>R</w:t>
      </w:r>
      <w:r w:rsidR="00BE5D76" w:rsidRPr="003F403C">
        <w:rPr>
          <w:rFonts w:asciiTheme="minorHAnsi" w:hAnsiTheme="minorHAnsi" w:cs="Arial"/>
          <w:color w:val="030309"/>
        </w:rPr>
        <w:t>.</w:t>
      </w:r>
      <w:r w:rsidRPr="003F403C">
        <w:rPr>
          <w:rFonts w:asciiTheme="minorHAnsi" w:hAnsiTheme="minorHAnsi" w:cs="Arial"/>
          <w:color w:val="030309"/>
        </w:rPr>
        <w:t>, Buka</w:t>
      </w:r>
      <w:r w:rsidR="00BE5D76" w:rsidRPr="003F403C">
        <w:rPr>
          <w:rFonts w:asciiTheme="minorHAnsi" w:hAnsiTheme="minorHAnsi" w:cs="Arial"/>
          <w:color w:val="030309"/>
        </w:rPr>
        <w:t>,</w:t>
      </w:r>
      <w:r w:rsidRPr="003F403C">
        <w:rPr>
          <w:rFonts w:asciiTheme="minorHAnsi" w:hAnsiTheme="minorHAnsi" w:cs="Arial"/>
          <w:color w:val="030309"/>
        </w:rPr>
        <w:t xml:space="preserve"> S</w:t>
      </w:r>
      <w:r w:rsidR="00BE5D76" w:rsidRPr="003F403C">
        <w:rPr>
          <w:rFonts w:asciiTheme="minorHAnsi" w:hAnsiTheme="minorHAnsi" w:cs="Arial"/>
          <w:color w:val="030309"/>
        </w:rPr>
        <w:t>.</w:t>
      </w:r>
      <w:r w:rsidRPr="003F403C">
        <w:rPr>
          <w:rFonts w:asciiTheme="minorHAnsi" w:hAnsiTheme="minorHAnsi" w:cs="Arial"/>
          <w:color w:val="030309"/>
        </w:rPr>
        <w:t xml:space="preserve">L. </w:t>
      </w:r>
      <w:r w:rsidR="00BE5D76" w:rsidRPr="003F403C">
        <w:rPr>
          <w:rFonts w:asciiTheme="minorHAnsi" w:hAnsiTheme="minorHAnsi" w:cs="Arial"/>
          <w:color w:val="030309"/>
        </w:rPr>
        <w:t xml:space="preserve">(2002). </w:t>
      </w:r>
      <w:r w:rsidRPr="003F403C">
        <w:rPr>
          <w:rFonts w:asciiTheme="minorHAnsi" w:hAnsiTheme="minorHAnsi" w:cs="Arial"/>
          <w:color w:val="030309"/>
        </w:rPr>
        <w:t xml:space="preserve">Linking juvenile and adult patterns of criminal activity in the Providence cohort of the National Collaborative Perinatal Project. </w:t>
      </w:r>
      <w:r w:rsidRPr="003F403C">
        <w:rPr>
          <w:rFonts w:asciiTheme="minorHAnsi" w:hAnsiTheme="minorHAnsi" w:cs="Arial"/>
          <w:i/>
          <w:color w:val="030309"/>
        </w:rPr>
        <w:t>Journal of Criminal Justice</w:t>
      </w:r>
      <w:r w:rsidR="00BE5D76" w:rsidRPr="003F403C">
        <w:rPr>
          <w:rFonts w:asciiTheme="minorHAnsi" w:hAnsiTheme="minorHAnsi" w:cs="Arial"/>
          <w:color w:val="030309"/>
        </w:rPr>
        <w:t>,</w:t>
      </w:r>
      <w:r w:rsidRPr="003F403C">
        <w:rPr>
          <w:rFonts w:asciiTheme="minorHAnsi" w:hAnsiTheme="minorHAnsi" w:cs="Arial"/>
          <w:color w:val="030309"/>
        </w:rPr>
        <w:t xml:space="preserve"> 30:259–272.</w:t>
      </w:r>
    </w:p>
    <w:p w:rsidR="00437D95" w:rsidRPr="003F403C" w:rsidRDefault="00437D95" w:rsidP="00DD054B">
      <w:pPr>
        <w:pStyle w:val="Default"/>
        <w:ind w:left="720" w:hanging="720"/>
        <w:rPr>
          <w:rFonts w:asciiTheme="minorHAnsi" w:hAnsiTheme="minorHAnsi" w:cs="Arial"/>
          <w:color w:val="030309"/>
          <w:sz w:val="22"/>
          <w:szCs w:val="22"/>
        </w:rPr>
      </w:pPr>
      <w:r w:rsidRPr="003F403C">
        <w:rPr>
          <w:rFonts w:asciiTheme="minorHAnsi" w:hAnsiTheme="minorHAnsi" w:cs="Arial"/>
          <w:color w:val="030309"/>
          <w:sz w:val="22"/>
          <w:szCs w:val="22"/>
        </w:rPr>
        <w:t>Piquero, A</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R.</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 xml:space="preserve"> Farrington, D</w:t>
      </w:r>
      <w:r w:rsidR="00BE5D76" w:rsidRPr="003F403C">
        <w:rPr>
          <w:rFonts w:asciiTheme="minorHAnsi" w:hAnsiTheme="minorHAnsi" w:cs="Arial"/>
          <w:color w:val="030309"/>
          <w:sz w:val="22"/>
          <w:szCs w:val="22"/>
        </w:rPr>
        <w:t>.</w:t>
      </w:r>
      <w:r w:rsidRPr="003F403C">
        <w:rPr>
          <w:rFonts w:asciiTheme="minorHAnsi" w:hAnsiTheme="minorHAnsi" w:cs="Arial"/>
          <w:color w:val="030309"/>
          <w:sz w:val="22"/>
          <w:szCs w:val="22"/>
        </w:rPr>
        <w:t>P.</w:t>
      </w:r>
      <w:r w:rsidR="00BE5D76" w:rsidRPr="003F403C">
        <w:rPr>
          <w:rFonts w:asciiTheme="minorHAnsi" w:hAnsiTheme="minorHAnsi" w:cs="Arial"/>
          <w:color w:val="030309"/>
          <w:sz w:val="22"/>
          <w:szCs w:val="22"/>
        </w:rPr>
        <w:t xml:space="preserve">, &amp; </w:t>
      </w:r>
      <w:r w:rsidRPr="003F403C">
        <w:rPr>
          <w:rFonts w:asciiTheme="minorHAnsi" w:hAnsiTheme="minorHAnsi" w:cs="Arial"/>
          <w:color w:val="030309"/>
          <w:sz w:val="22"/>
          <w:szCs w:val="22"/>
        </w:rPr>
        <w:t xml:space="preserve">Blumstein, A. </w:t>
      </w:r>
      <w:r w:rsidR="00BE5D76" w:rsidRPr="003F403C">
        <w:rPr>
          <w:rFonts w:asciiTheme="minorHAnsi" w:hAnsiTheme="minorHAnsi" w:cs="Arial"/>
          <w:color w:val="030309"/>
          <w:sz w:val="22"/>
          <w:szCs w:val="22"/>
        </w:rPr>
        <w:t xml:space="preserve">(2007). </w:t>
      </w:r>
      <w:r w:rsidRPr="003F403C">
        <w:rPr>
          <w:rFonts w:asciiTheme="minorHAnsi" w:hAnsiTheme="minorHAnsi" w:cs="Arial"/>
          <w:i/>
          <w:color w:val="030309"/>
          <w:sz w:val="22"/>
          <w:szCs w:val="22"/>
        </w:rPr>
        <w:t>Key issues in criminal career research: New analyses of the Cambridge Study in Delinquent Development</w:t>
      </w:r>
      <w:r w:rsidRPr="003F403C">
        <w:rPr>
          <w:rFonts w:asciiTheme="minorHAnsi" w:hAnsiTheme="minorHAnsi" w:cs="Arial"/>
          <w:color w:val="030309"/>
          <w:sz w:val="22"/>
          <w:szCs w:val="22"/>
        </w:rPr>
        <w:t xml:space="preserve">. Cambridge, UK: Cambridge University Press; 2007. </w:t>
      </w:r>
    </w:p>
    <w:p w:rsidR="00BE5D76" w:rsidRPr="003F403C" w:rsidRDefault="00BE5D76" w:rsidP="00DD054B">
      <w:pPr>
        <w:pStyle w:val="Default"/>
        <w:ind w:left="720" w:hanging="720"/>
        <w:rPr>
          <w:rFonts w:asciiTheme="minorHAnsi" w:hAnsiTheme="minorHAnsi" w:cs="Arial"/>
          <w:color w:val="030309"/>
          <w:sz w:val="22"/>
          <w:szCs w:val="22"/>
        </w:rPr>
      </w:pPr>
    </w:p>
    <w:p w:rsidR="00437D95" w:rsidRPr="003F403C" w:rsidRDefault="00437D95" w:rsidP="00DD054B">
      <w:pPr>
        <w:ind w:left="720" w:hanging="720"/>
        <w:rPr>
          <w:rFonts w:asciiTheme="minorHAnsi" w:hAnsiTheme="minorHAnsi" w:cs="Arial"/>
          <w:color w:val="030309"/>
          <w:shd w:val="clear" w:color="auto" w:fill="FFFFFF"/>
        </w:rPr>
      </w:pPr>
      <w:r w:rsidRPr="003F403C">
        <w:rPr>
          <w:rFonts w:asciiTheme="minorHAnsi" w:hAnsiTheme="minorHAnsi" w:cs="Arial"/>
          <w:color w:val="030309"/>
          <w:shd w:val="clear" w:color="auto" w:fill="FFFFFF"/>
        </w:rPr>
        <w:t xml:space="preserve">Rhoades, K. A., Leve, L. D., Eddy, J. M., &amp; Chamberlain, P. (2016). Predicting the transition from juvenile delinquency to adult criminality: Gender-specific influences in two high-risk samples. </w:t>
      </w:r>
      <w:r w:rsidRPr="003F403C">
        <w:rPr>
          <w:rFonts w:asciiTheme="minorHAnsi" w:hAnsiTheme="minorHAnsi" w:cs="Arial"/>
          <w:i/>
          <w:iCs/>
          <w:color w:val="030309"/>
        </w:rPr>
        <w:t>Crimi</w:t>
      </w:r>
      <w:r w:rsidR="003F403C">
        <w:rPr>
          <w:rFonts w:asciiTheme="minorHAnsi" w:hAnsiTheme="minorHAnsi" w:cs="Arial"/>
          <w:i/>
          <w:iCs/>
          <w:color w:val="030309"/>
        </w:rPr>
        <w:t>nal behaviour and mental health</w:t>
      </w:r>
      <w:r w:rsidRPr="003F403C">
        <w:rPr>
          <w:rFonts w:asciiTheme="minorHAnsi" w:hAnsiTheme="minorHAnsi" w:cs="Arial"/>
          <w:i/>
          <w:iCs/>
          <w:color w:val="030309"/>
        </w:rPr>
        <w:t>: CBMH</w:t>
      </w:r>
      <w:r w:rsidRPr="003F403C">
        <w:rPr>
          <w:rFonts w:asciiTheme="minorHAnsi" w:hAnsiTheme="minorHAnsi" w:cs="Arial"/>
          <w:color w:val="030309"/>
          <w:shd w:val="clear" w:color="auto" w:fill="FFFFFF"/>
        </w:rPr>
        <w:t xml:space="preserve">, </w:t>
      </w:r>
      <w:r w:rsidRPr="003F403C">
        <w:rPr>
          <w:rFonts w:asciiTheme="minorHAnsi" w:hAnsiTheme="minorHAnsi" w:cs="Arial"/>
          <w:i/>
          <w:iCs/>
          <w:color w:val="030309"/>
        </w:rPr>
        <w:t>26</w:t>
      </w:r>
      <w:r w:rsidRPr="003F403C">
        <w:rPr>
          <w:rFonts w:asciiTheme="minorHAnsi" w:hAnsiTheme="minorHAnsi" w:cs="Arial"/>
          <w:color w:val="030309"/>
          <w:shd w:val="clear" w:color="auto" w:fill="FFFFFF"/>
        </w:rPr>
        <w:t xml:space="preserve">(5), 336–351. </w:t>
      </w:r>
      <w:hyperlink r:id="rId27" w:history="1">
        <w:r w:rsidRPr="003F403C">
          <w:rPr>
            <w:rStyle w:val="Hyperlink"/>
            <w:rFonts w:asciiTheme="minorHAnsi" w:hAnsiTheme="minorHAnsi" w:cs="Arial"/>
            <w:color w:val="030309"/>
            <w:shd w:val="clear" w:color="auto" w:fill="FFFFFF"/>
          </w:rPr>
          <w:t>https://doi.org/10.1002/cbm.1957</w:t>
        </w:r>
      </w:hyperlink>
    </w:p>
    <w:p w:rsidR="00556BF1" w:rsidRPr="00C5584B" w:rsidRDefault="00556BF1" w:rsidP="00437D95">
      <w:pPr>
        <w:pStyle w:val="Heading1"/>
        <w:numPr>
          <w:ilvl w:val="0"/>
          <w:numId w:val="0"/>
        </w:numPr>
        <w:ind w:left="432" w:hanging="432"/>
        <w:rPr>
          <w:lang w:eastAsia="en-AU"/>
        </w:rPr>
      </w:pPr>
    </w:p>
    <w:sectPr w:rsidR="00556BF1" w:rsidRPr="00C558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80B" w:rsidRDefault="004C680B">
      <w:r>
        <w:separator/>
      </w:r>
    </w:p>
  </w:endnote>
  <w:endnote w:type="continuationSeparator" w:id="0">
    <w:p w:rsidR="004C680B" w:rsidRDefault="004C680B">
      <w:r>
        <w:continuationSeparator/>
      </w:r>
    </w:p>
  </w:endnote>
  <w:endnote w:type="continuationNotice" w:id="1">
    <w:p w:rsidR="004C680B" w:rsidRDefault="004C6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254D28" w:rsidRDefault="00254D28"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sidR="00E91A5A">
              <w:rPr>
                <w:rStyle w:val="PageNumber"/>
                <w:noProof/>
              </w:rPr>
              <w:t>17</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28" w:rsidRPr="00F538BD" w:rsidRDefault="00254D28" w:rsidP="004E7885">
    <w:pPr>
      <w:spacing w:after="0"/>
      <w:jc w:val="right"/>
      <w:rPr>
        <w:sz w:val="6"/>
        <w:szCs w:val="6"/>
      </w:rPr>
    </w:pPr>
    <w:r w:rsidRPr="001852AF">
      <w:rPr>
        <w:noProof/>
        <w:lang w:eastAsia="en-AU"/>
      </w:rPr>
      <w:drawing>
        <wp:inline distT="0" distB="0" distL="0" distR="0" wp14:anchorId="30978538" wp14:editId="3FDE94CD">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9CB" w:rsidRPr="00AB0FFB" w:rsidRDefault="003609CB" w:rsidP="005214CE">
    <w:pPr>
      <w:pBdr>
        <w:top w:val="single" w:sz="4" w:space="1" w:color="auto"/>
      </w:pBdr>
      <w:spacing w:after="0"/>
      <w:rPr>
        <w:rStyle w:val="PageNumber"/>
      </w:rPr>
    </w:pPr>
    <w:r w:rsidRPr="00AB0FFB">
      <w:rPr>
        <w:rStyle w:val="PageNumber"/>
      </w:rPr>
      <w:t xml:space="preserve">Department of </w:t>
    </w:r>
    <w:sdt>
      <w:sdtPr>
        <w:rPr>
          <w:rStyle w:val="PageNumber"/>
        </w:rPr>
        <w:alias w:val="Company"/>
        <w:tag w:val=""/>
        <w:id w:val="-1550452142"/>
        <w:placeholder>
          <w:docPart w:val="A983DAF7C7B2456CB6840589F935499F"/>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Pr="00AB0FFB">
          <w:rPr>
            <w:rStyle w:val="PageNumber"/>
          </w:rPr>
          <w:t>Department of the Attorney-General and Justice</w:t>
        </w:r>
      </w:sdtContent>
    </w:sdt>
    <w:r w:rsidRPr="00AB0FFB">
      <w:rPr>
        <w:rStyle w:val="PageNumber"/>
      </w:rPr>
      <w:t xml:space="preserve"> </w:t>
    </w:r>
  </w:p>
  <w:p w:rsidR="003609CB" w:rsidRPr="00CE6614" w:rsidRDefault="004C680B" w:rsidP="003609CB">
    <w:pPr>
      <w:spacing w:after="0"/>
      <w:rPr>
        <w:rStyle w:val="PageNumber"/>
      </w:rPr>
    </w:pPr>
    <w:sdt>
      <w:sdtPr>
        <w:rPr>
          <w:rStyle w:val="PageNumber"/>
        </w:rPr>
        <w:alias w:val="Date"/>
        <w:tag w:val=""/>
        <w:id w:val="1578473972"/>
        <w:placeholder>
          <w:docPart w:val="FB559648318E489DAE4BD27E5F03FB7C"/>
        </w:placeholder>
        <w:dataBinding w:prefixMappings="xmlns:ns0='http://schemas.microsoft.com/office/2006/coverPageProps' " w:xpath="/ns0:CoverPageProperties[1]/ns0:PublishDate[1]" w:storeItemID="{55AF091B-3C7A-41E3-B477-F2FDAA23CFDA}"/>
        <w15:color w:val="000000"/>
        <w:date w:fullDate="2020-11-06T00:00:00Z">
          <w:dateFormat w:val="d MMMM yyyy"/>
          <w:lid w:val="en-AU"/>
          <w:storeMappedDataAs w:val="dateTime"/>
          <w:calendar w:val="gregorian"/>
        </w:date>
      </w:sdtPr>
      <w:sdtEndPr>
        <w:rPr>
          <w:rStyle w:val="PageNumber"/>
        </w:rPr>
      </w:sdtEndPr>
      <w:sdtContent>
        <w:r w:rsidR="003609CB">
          <w:rPr>
            <w:rStyle w:val="PageNumber"/>
          </w:rPr>
          <w:t>6 November 2020</w:t>
        </w:r>
      </w:sdtContent>
    </w:sdt>
    <w:r w:rsidR="003609CB" w:rsidRPr="00CE6614">
      <w:rPr>
        <w:rStyle w:val="PageNumber"/>
      </w:rPr>
      <w:t xml:space="preserve"> </w:t>
    </w:r>
    <w:r w:rsidR="00FE30BD">
      <w:rPr>
        <w:rStyle w:val="PageNumber"/>
      </w:rPr>
      <w:t>| Version 1.1</w:t>
    </w:r>
  </w:p>
  <w:p w:rsidR="00254D28" w:rsidRPr="003609CB" w:rsidRDefault="003609CB" w:rsidP="003609CB">
    <w:pPr>
      <w:pStyle w:val="Foote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7867E1">
      <w:rPr>
        <w:rStyle w:val="PageNumber"/>
        <w:noProof/>
      </w:rPr>
      <w:t>17</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7867E1">
      <w:rPr>
        <w:rStyle w:val="PageNumber"/>
        <w:noProof/>
      </w:rPr>
      <w:t>17</w:t>
    </w:r>
    <w:r w:rsidRPr="00AC4488">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28" w:rsidRPr="00F538BD" w:rsidRDefault="00254D28" w:rsidP="004E7885">
    <w:pPr>
      <w:spacing w:after="0"/>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80B" w:rsidRDefault="004C680B">
      <w:r>
        <w:separator/>
      </w:r>
    </w:p>
  </w:footnote>
  <w:footnote w:type="continuationSeparator" w:id="0">
    <w:p w:rsidR="004C680B" w:rsidRDefault="004C680B">
      <w:r>
        <w:continuationSeparator/>
      </w:r>
    </w:p>
  </w:footnote>
  <w:footnote w:type="continuationNotice" w:id="1">
    <w:p w:rsidR="004C680B" w:rsidRDefault="004C68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28" w:rsidRPr="008E0345" w:rsidRDefault="004C680B" w:rsidP="005A5A44">
    <w:pPr>
      <w:pStyle w:val="Header"/>
    </w:pPr>
    <w:sdt>
      <w:sdtPr>
        <w:alias w:val="Title"/>
        <w:tag w:val=""/>
        <w:id w:val="-477918894"/>
        <w:placeholder>
          <w:docPart w:val="EB8A80C13FE9498CB0BE51C51CB166A5"/>
        </w:placeholder>
        <w:dataBinding w:prefixMappings="xmlns:ns0='http://purl.org/dc/elements/1.1/' xmlns:ns1='http://schemas.openxmlformats.org/package/2006/metadata/core-properties' " w:xpath="/ns1:coreProperties[1]/ns0:title[1]" w:storeItemID="{6C3C8BC8-F283-45AE-878A-BAB7291924A1}"/>
        <w:text/>
      </w:sdtPr>
      <w:sdtEndPr/>
      <w:sdtContent>
        <w:r w:rsidR="00254D28">
          <w:t>The transition from youth to adult custody in the Northern Territory</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28" w:rsidRPr="00BD0F38" w:rsidRDefault="00254D28" w:rsidP="00A32EFF">
    <w:pPr>
      <w:tabs>
        <w:tab w:val="right" w:pos="10318"/>
      </w:tabs>
    </w:pPr>
    <w:r w:rsidRPr="00BD0F38">
      <w:rPr>
        <w:noProof/>
        <w:lang w:eastAsia="en-AU"/>
      </w:rPr>
      <w:drawing>
        <wp:anchor distT="0" distB="0" distL="0" distR="0" simplePos="0" relativeHeight="251659264" behindDoc="0" locked="0" layoutInCell="1" allowOverlap="1" wp14:anchorId="2D7999D3" wp14:editId="2D0EEC99">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28" w:rsidRPr="004E7885" w:rsidRDefault="004C680B" w:rsidP="004E7885">
    <w:pPr>
      <w:pStyle w:val="Header"/>
    </w:pPr>
    <w:sdt>
      <w:sdtPr>
        <w:alias w:val="Title"/>
        <w:tag w:val="Title"/>
        <w:id w:val="94911156"/>
        <w:lock w:val="sdtLocked"/>
        <w:placeholder>
          <w:docPart w:val="EB8A80C13FE9498CB0BE51C51CB166A5"/>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rsidR="00254D28">
          <w:t>The transition from youth to adult custody in the Northern Territory</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28" w:rsidRPr="00274F1C" w:rsidRDefault="00254D28" w:rsidP="004E788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86276C"/>
    <w:multiLevelType w:val="multilevel"/>
    <w:tmpl w:val="3928FD02"/>
    <w:name w:val="NTG Table Bullet List32223"/>
    <w:numStyleLink w:val="Bulletlist"/>
  </w:abstractNum>
  <w:abstractNum w:abstractNumId="17" w15:restartNumberingAfterBreak="0">
    <w:nsid w:val="1D0744AE"/>
    <w:multiLevelType w:val="multilevel"/>
    <w:tmpl w:val="3E5E177A"/>
    <w:name w:val="NTG Table Bullet List3222322"/>
    <w:numStyleLink w:val="Tablenumberlist"/>
  </w:abstractNum>
  <w:abstractNum w:abstractNumId="18"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0" w15:restartNumberingAfterBreak="0">
    <w:nsid w:val="272E3F76"/>
    <w:multiLevelType w:val="multilevel"/>
    <w:tmpl w:val="3E5E177A"/>
    <w:name w:val="NTG Table Bullet List3322"/>
    <w:numStyleLink w:val="Tablenumberlist"/>
  </w:abstractNum>
  <w:abstractNum w:abstractNumId="21" w15:restartNumberingAfterBreak="0">
    <w:nsid w:val="27CE4608"/>
    <w:multiLevelType w:val="multilevel"/>
    <w:tmpl w:val="3E5E177A"/>
    <w:name w:val="NTG Table Bullet List33222"/>
    <w:numStyleLink w:val="Tablenumberlist"/>
  </w:abstractNum>
  <w:abstractNum w:abstractNumId="22" w15:restartNumberingAfterBreak="0">
    <w:nsid w:val="27D83E4D"/>
    <w:multiLevelType w:val="multilevel"/>
    <w:tmpl w:val="3928FD02"/>
    <w:numStyleLink w:val="Bulletlist"/>
  </w:abstractNum>
  <w:abstractNum w:abstractNumId="23" w15:restartNumberingAfterBreak="0">
    <w:nsid w:val="2A1520E7"/>
    <w:multiLevelType w:val="multilevel"/>
    <w:tmpl w:val="4E6AC8F6"/>
    <w:numStyleLink w:val="Numberlist"/>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00676E3"/>
    <w:multiLevelType w:val="multilevel"/>
    <w:tmpl w:val="FD1CD746"/>
    <w:numStyleLink w:val="Numberedlist"/>
  </w:abstractNum>
  <w:abstractNum w:abstractNumId="36"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49FD3A20"/>
    <w:multiLevelType w:val="multilevel"/>
    <w:tmpl w:val="3E5E177A"/>
    <w:name w:val="NTG Table Bullet List3322222222222"/>
    <w:numStyleLink w:val="Tablenumberlist"/>
  </w:abstractNum>
  <w:abstractNum w:abstractNumId="40"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1" w15:restartNumberingAfterBreak="0">
    <w:nsid w:val="4BC46D41"/>
    <w:multiLevelType w:val="hybridMultilevel"/>
    <w:tmpl w:val="9DB6B8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CB786D"/>
    <w:multiLevelType w:val="multilevel"/>
    <w:tmpl w:val="FD1CD746"/>
    <w:numStyleLink w:val="Numberedlist"/>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59F69DF"/>
    <w:multiLevelType w:val="hybridMultilevel"/>
    <w:tmpl w:val="A9BE56A4"/>
    <w:lvl w:ilvl="0" w:tplc="0C09000F">
      <w:start w:val="1"/>
      <w:numFmt w:val="decimal"/>
      <w:lvlText w:val="%1."/>
      <w:lvlJc w:val="left"/>
      <w:pPr>
        <w:ind w:left="1491" w:hanging="360"/>
      </w:pPr>
    </w:lvl>
    <w:lvl w:ilvl="1" w:tplc="0C090019" w:tentative="1">
      <w:start w:val="1"/>
      <w:numFmt w:val="lowerLetter"/>
      <w:lvlText w:val="%2."/>
      <w:lvlJc w:val="left"/>
      <w:pPr>
        <w:ind w:left="2211" w:hanging="360"/>
      </w:pPr>
    </w:lvl>
    <w:lvl w:ilvl="2" w:tplc="0C09001B" w:tentative="1">
      <w:start w:val="1"/>
      <w:numFmt w:val="lowerRoman"/>
      <w:lvlText w:val="%3."/>
      <w:lvlJc w:val="right"/>
      <w:pPr>
        <w:ind w:left="2931" w:hanging="180"/>
      </w:pPr>
    </w:lvl>
    <w:lvl w:ilvl="3" w:tplc="0C09000F" w:tentative="1">
      <w:start w:val="1"/>
      <w:numFmt w:val="decimal"/>
      <w:lvlText w:val="%4."/>
      <w:lvlJc w:val="left"/>
      <w:pPr>
        <w:ind w:left="3651" w:hanging="360"/>
      </w:pPr>
    </w:lvl>
    <w:lvl w:ilvl="4" w:tplc="0C090019" w:tentative="1">
      <w:start w:val="1"/>
      <w:numFmt w:val="lowerLetter"/>
      <w:lvlText w:val="%5."/>
      <w:lvlJc w:val="left"/>
      <w:pPr>
        <w:ind w:left="4371" w:hanging="360"/>
      </w:pPr>
    </w:lvl>
    <w:lvl w:ilvl="5" w:tplc="0C09001B" w:tentative="1">
      <w:start w:val="1"/>
      <w:numFmt w:val="lowerRoman"/>
      <w:lvlText w:val="%6."/>
      <w:lvlJc w:val="right"/>
      <w:pPr>
        <w:ind w:left="5091" w:hanging="180"/>
      </w:pPr>
    </w:lvl>
    <w:lvl w:ilvl="6" w:tplc="0C09000F" w:tentative="1">
      <w:start w:val="1"/>
      <w:numFmt w:val="decimal"/>
      <w:lvlText w:val="%7."/>
      <w:lvlJc w:val="left"/>
      <w:pPr>
        <w:ind w:left="5811" w:hanging="360"/>
      </w:pPr>
    </w:lvl>
    <w:lvl w:ilvl="7" w:tplc="0C090019" w:tentative="1">
      <w:start w:val="1"/>
      <w:numFmt w:val="lowerLetter"/>
      <w:lvlText w:val="%8."/>
      <w:lvlJc w:val="left"/>
      <w:pPr>
        <w:ind w:left="6531" w:hanging="360"/>
      </w:pPr>
    </w:lvl>
    <w:lvl w:ilvl="8" w:tplc="0C09001B" w:tentative="1">
      <w:start w:val="1"/>
      <w:numFmt w:val="lowerRoman"/>
      <w:lvlText w:val="%9."/>
      <w:lvlJc w:val="right"/>
      <w:pPr>
        <w:ind w:left="7251" w:hanging="180"/>
      </w:pPr>
    </w:lvl>
  </w:abstractNum>
  <w:abstractNum w:abstractNumId="49"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E21323"/>
    <w:multiLevelType w:val="multilevel"/>
    <w:tmpl w:val="4E6AC8F6"/>
    <w:numStyleLink w:val="Numberlist"/>
  </w:abstractNum>
  <w:abstractNum w:abstractNumId="55"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62034D05"/>
    <w:multiLevelType w:val="hybridMultilevel"/>
    <w:tmpl w:val="F9304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9262556"/>
    <w:multiLevelType w:val="multilevel"/>
    <w:tmpl w:val="3E5E177A"/>
    <w:name w:val="NTG Table Bullet List3322222222222222"/>
    <w:numStyleLink w:val="Tablenumberlist"/>
  </w:abstractNum>
  <w:abstractNum w:abstractNumId="64" w15:restartNumberingAfterBreak="0">
    <w:nsid w:val="7453664D"/>
    <w:multiLevelType w:val="multilevel"/>
    <w:tmpl w:val="0C78A7AC"/>
    <w:name w:val="NTG Table Bullet List3322222222222222222"/>
    <w:numStyleLink w:val="Tablebulletlist"/>
  </w:abstractNum>
  <w:abstractNum w:abstractNumId="65" w15:restartNumberingAfterBreak="0">
    <w:nsid w:val="76141D1E"/>
    <w:multiLevelType w:val="multilevel"/>
    <w:tmpl w:val="0C78A7AC"/>
    <w:name w:val="NTG Table Bullet List332222222222"/>
    <w:numStyleLink w:val="Tablebulletlist"/>
  </w:abstractNum>
  <w:abstractNum w:abstractNumId="66" w15:restartNumberingAfterBreak="0">
    <w:nsid w:val="765A32D4"/>
    <w:multiLevelType w:val="multilevel"/>
    <w:tmpl w:val="4E6AC8F6"/>
    <w:numStyleLink w:val="Numberlist"/>
  </w:abstractNum>
  <w:abstractNum w:abstractNumId="67"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0"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0"/>
  </w:num>
  <w:num w:numId="2">
    <w:abstractNumId w:val="19"/>
  </w:num>
  <w:num w:numId="3">
    <w:abstractNumId w:val="69"/>
  </w:num>
  <w:num w:numId="4">
    <w:abstractNumId w:val="40"/>
  </w:num>
  <w:num w:numId="5">
    <w:abstractNumId w:val="24"/>
  </w:num>
  <w:num w:numId="6">
    <w:abstractNumId w:val="13"/>
  </w:num>
  <w:num w:numId="7">
    <w:abstractNumId w:val="46"/>
  </w:num>
  <w:num w:numId="8">
    <w:abstractNumId w:val="22"/>
  </w:num>
  <w:num w:numId="9">
    <w:abstractNumId w:val="54"/>
  </w:num>
  <w:num w:numId="10">
    <w:abstractNumId w:val="18"/>
  </w:num>
  <w:num w:numId="11">
    <w:abstractNumId w:val="61"/>
  </w:num>
  <w:num w:numId="12">
    <w:abstractNumId w:val="15"/>
  </w:num>
  <w:num w:numId="13">
    <w:abstractNumId w:val="1"/>
  </w:num>
  <w:num w:numId="14">
    <w:abstractNumId w:val="59"/>
  </w:num>
  <w:num w:numId="15">
    <w:abstractNumId w:val="23"/>
  </w:num>
  <w:num w:numId="16">
    <w:abstractNumId w:val="60"/>
  </w:num>
  <w:num w:numId="17">
    <w:abstractNumId w:val="66"/>
  </w:num>
  <w:num w:numId="18">
    <w:abstractNumId w:val="53"/>
  </w:num>
  <w:num w:numId="19">
    <w:abstractNumId w:val="44"/>
  </w:num>
  <w:num w:numId="20">
    <w:abstractNumId w:val="49"/>
  </w:num>
  <w:num w:numId="21">
    <w:abstractNumId w:val="36"/>
  </w:num>
  <w:num w:numId="22">
    <w:abstractNumId w:val="52"/>
  </w:num>
  <w:num w:numId="23">
    <w:abstractNumId w:val="43"/>
  </w:num>
  <w:num w:numId="24">
    <w:abstractNumId w:val="38"/>
  </w:num>
  <w:num w:numId="25">
    <w:abstractNumId w:val="33"/>
  </w:num>
  <w:num w:numId="26">
    <w:abstractNumId w:val="10"/>
  </w:num>
  <w:num w:numId="27">
    <w:abstractNumId w:val="67"/>
  </w:num>
  <w:num w:numId="28">
    <w:abstractNumId w:val="32"/>
  </w:num>
  <w:num w:numId="29">
    <w:abstractNumId w:val="25"/>
  </w:num>
  <w:num w:numId="30">
    <w:abstractNumId w:val="0"/>
  </w:num>
  <w:num w:numId="31">
    <w:abstractNumId w:val="37"/>
  </w:num>
  <w:num w:numId="32">
    <w:abstractNumId w:val="9"/>
  </w:num>
  <w:num w:numId="33">
    <w:abstractNumId w:val="62"/>
  </w:num>
  <w:num w:numId="34">
    <w:abstractNumId w:val="28"/>
  </w:num>
  <w:num w:numId="35">
    <w:abstractNumId w:val="68"/>
  </w:num>
  <w:num w:numId="36">
    <w:abstractNumId w:val="55"/>
  </w:num>
  <w:num w:numId="37">
    <w:abstractNumId w:val="4"/>
  </w:num>
  <w:num w:numId="38">
    <w:abstractNumId w:val="31"/>
  </w:num>
  <w:num w:numId="39">
    <w:abstractNumId w:val="45"/>
  </w:num>
  <w:num w:numId="40">
    <w:abstractNumId w:val="35"/>
  </w:num>
  <w:num w:numId="41">
    <w:abstractNumId w:val="2"/>
  </w:num>
  <w:num w:numId="42">
    <w:abstractNumId w:val="58"/>
  </w:num>
  <w:num w:numId="43">
    <w:abstractNumId w:val="48"/>
  </w:num>
  <w:num w:numId="44">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isplayBackgroundShape/>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10"/>
    <w:rsid w:val="00001DDF"/>
    <w:rsid w:val="0000211D"/>
    <w:rsid w:val="0000322D"/>
    <w:rsid w:val="00007670"/>
    <w:rsid w:val="00010665"/>
    <w:rsid w:val="000238B4"/>
    <w:rsid w:val="0002393A"/>
    <w:rsid w:val="00026310"/>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80D"/>
    <w:rsid w:val="000B2CA1"/>
    <w:rsid w:val="000B6E48"/>
    <w:rsid w:val="000D1F29"/>
    <w:rsid w:val="000D633D"/>
    <w:rsid w:val="000E0962"/>
    <w:rsid w:val="000E342B"/>
    <w:rsid w:val="000E38FB"/>
    <w:rsid w:val="000E5DD2"/>
    <w:rsid w:val="000F2958"/>
    <w:rsid w:val="000F4805"/>
    <w:rsid w:val="00101DEC"/>
    <w:rsid w:val="00104E7F"/>
    <w:rsid w:val="001050B1"/>
    <w:rsid w:val="001137EC"/>
    <w:rsid w:val="001152F5"/>
    <w:rsid w:val="00117743"/>
    <w:rsid w:val="00117F5B"/>
    <w:rsid w:val="00124E78"/>
    <w:rsid w:val="00132658"/>
    <w:rsid w:val="00147DED"/>
    <w:rsid w:val="00150DC0"/>
    <w:rsid w:val="00156CD4"/>
    <w:rsid w:val="00161CC6"/>
    <w:rsid w:val="00164A3E"/>
    <w:rsid w:val="00166FF6"/>
    <w:rsid w:val="00172C77"/>
    <w:rsid w:val="00176123"/>
    <w:rsid w:val="00181620"/>
    <w:rsid w:val="0018516A"/>
    <w:rsid w:val="001957AD"/>
    <w:rsid w:val="001A2B7F"/>
    <w:rsid w:val="001A3AFD"/>
    <w:rsid w:val="001A496C"/>
    <w:rsid w:val="001A6304"/>
    <w:rsid w:val="001B2B6C"/>
    <w:rsid w:val="001B2FB8"/>
    <w:rsid w:val="001C2C33"/>
    <w:rsid w:val="001D01C4"/>
    <w:rsid w:val="001D32B5"/>
    <w:rsid w:val="001D52B0"/>
    <w:rsid w:val="001D59DA"/>
    <w:rsid w:val="001D5A18"/>
    <w:rsid w:val="001D7CA4"/>
    <w:rsid w:val="001E057F"/>
    <w:rsid w:val="001E14EB"/>
    <w:rsid w:val="001E1D4D"/>
    <w:rsid w:val="001F59E6"/>
    <w:rsid w:val="00202014"/>
    <w:rsid w:val="00206936"/>
    <w:rsid w:val="00206C6F"/>
    <w:rsid w:val="00206FBD"/>
    <w:rsid w:val="00207746"/>
    <w:rsid w:val="00221220"/>
    <w:rsid w:val="002232F4"/>
    <w:rsid w:val="00230031"/>
    <w:rsid w:val="00235C01"/>
    <w:rsid w:val="00236878"/>
    <w:rsid w:val="00247343"/>
    <w:rsid w:val="00247538"/>
    <w:rsid w:val="00254BF4"/>
    <w:rsid w:val="00254D28"/>
    <w:rsid w:val="00264C90"/>
    <w:rsid w:val="00265C56"/>
    <w:rsid w:val="00270A49"/>
    <w:rsid w:val="002716CD"/>
    <w:rsid w:val="00272232"/>
    <w:rsid w:val="00274D4B"/>
    <w:rsid w:val="002806F5"/>
    <w:rsid w:val="00281577"/>
    <w:rsid w:val="002865C0"/>
    <w:rsid w:val="00286C85"/>
    <w:rsid w:val="002926BC"/>
    <w:rsid w:val="00293A72"/>
    <w:rsid w:val="002A0160"/>
    <w:rsid w:val="002A30C3"/>
    <w:rsid w:val="002A33B4"/>
    <w:rsid w:val="002A4FE5"/>
    <w:rsid w:val="002A6F6A"/>
    <w:rsid w:val="002A7712"/>
    <w:rsid w:val="002B38F7"/>
    <w:rsid w:val="002B4C0D"/>
    <w:rsid w:val="002B5591"/>
    <w:rsid w:val="002B6AA4"/>
    <w:rsid w:val="002B7A37"/>
    <w:rsid w:val="002C1FE9"/>
    <w:rsid w:val="002D3A57"/>
    <w:rsid w:val="002D7D05"/>
    <w:rsid w:val="002E20C8"/>
    <w:rsid w:val="002E4290"/>
    <w:rsid w:val="002E4720"/>
    <w:rsid w:val="002E5B94"/>
    <w:rsid w:val="002E66A6"/>
    <w:rsid w:val="002F0DB1"/>
    <w:rsid w:val="002F2885"/>
    <w:rsid w:val="002F3CF1"/>
    <w:rsid w:val="002F45A1"/>
    <w:rsid w:val="00301AEE"/>
    <w:rsid w:val="003037F9"/>
    <w:rsid w:val="0030583E"/>
    <w:rsid w:val="00307FE1"/>
    <w:rsid w:val="003164BA"/>
    <w:rsid w:val="003216EA"/>
    <w:rsid w:val="003223FE"/>
    <w:rsid w:val="00322957"/>
    <w:rsid w:val="003258E6"/>
    <w:rsid w:val="0033041E"/>
    <w:rsid w:val="00342283"/>
    <w:rsid w:val="00343A87"/>
    <w:rsid w:val="00344A36"/>
    <w:rsid w:val="003456F4"/>
    <w:rsid w:val="00347FB6"/>
    <w:rsid w:val="003504FD"/>
    <w:rsid w:val="00350881"/>
    <w:rsid w:val="003531AF"/>
    <w:rsid w:val="00357D55"/>
    <w:rsid w:val="003609CB"/>
    <w:rsid w:val="00363513"/>
    <w:rsid w:val="003657E5"/>
    <w:rsid w:val="0036589C"/>
    <w:rsid w:val="003705A4"/>
    <w:rsid w:val="00371312"/>
    <w:rsid w:val="00371DC7"/>
    <w:rsid w:val="003765C6"/>
    <w:rsid w:val="00376BF0"/>
    <w:rsid w:val="00377B21"/>
    <w:rsid w:val="00390C6D"/>
    <w:rsid w:val="00390CE3"/>
    <w:rsid w:val="00394876"/>
    <w:rsid w:val="00394AAF"/>
    <w:rsid w:val="00394CE5"/>
    <w:rsid w:val="003A3AAA"/>
    <w:rsid w:val="003A6341"/>
    <w:rsid w:val="003B173F"/>
    <w:rsid w:val="003B67FD"/>
    <w:rsid w:val="003B6A61"/>
    <w:rsid w:val="003D26B9"/>
    <w:rsid w:val="003D3850"/>
    <w:rsid w:val="003D42C0"/>
    <w:rsid w:val="003D5B29"/>
    <w:rsid w:val="003D7818"/>
    <w:rsid w:val="003D7BF2"/>
    <w:rsid w:val="003E2445"/>
    <w:rsid w:val="003E3BB2"/>
    <w:rsid w:val="003F1F64"/>
    <w:rsid w:val="003F403C"/>
    <w:rsid w:val="003F5B58"/>
    <w:rsid w:val="0040222A"/>
    <w:rsid w:val="004047BC"/>
    <w:rsid w:val="00406497"/>
    <w:rsid w:val="004100F7"/>
    <w:rsid w:val="00414CB3"/>
    <w:rsid w:val="0041563D"/>
    <w:rsid w:val="00417E19"/>
    <w:rsid w:val="00420CF5"/>
    <w:rsid w:val="00422874"/>
    <w:rsid w:val="00426E25"/>
    <w:rsid w:val="00427D9C"/>
    <w:rsid w:val="00427E7E"/>
    <w:rsid w:val="00437D95"/>
    <w:rsid w:val="004433AE"/>
    <w:rsid w:val="00443B6E"/>
    <w:rsid w:val="004521CB"/>
    <w:rsid w:val="0045420A"/>
    <w:rsid w:val="004554D4"/>
    <w:rsid w:val="00461744"/>
    <w:rsid w:val="00466185"/>
    <w:rsid w:val="004668A7"/>
    <w:rsid w:val="00466D96"/>
    <w:rsid w:val="00467747"/>
    <w:rsid w:val="00473C98"/>
    <w:rsid w:val="00474965"/>
    <w:rsid w:val="00476071"/>
    <w:rsid w:val="00482DF8"/>
    <w:rsid w:val="004864DE"/>
    <w:rsid w:val="0049289D"/>
    <w:rsid w:val="00494BE5"/>
    <w:rsid w:val="004A0EBA"/>
    <w:rsid w:val="004A2538"/>
    <w:rsid w:val="004B0C15"/>
    <w:rsid w:val="004B35EA"/>
    <w:rsid w:val="004B69E4"/>
    <w:rsid w:val="004B7373"/>
    <w:rsid w:val="004C2BF4"/>
    <w:rsid w:val="004C680B"/>
    <w:rsid w:val="004C6C39"/>
    <w:rsid w:val="004D075F"/>
    <w:rsid w:val="004D1B76"/>
    <w:rsid w:val="004D344E"/>
    <w:rsid w:val="004E019E"/>
    <w:rsid w:val="004E06EC"/>
    <w:rsid w:val="004E0D58"/>
    <w:rsid w:val="004E0FD7"/>
    <w:rsid w:val="004E2CB7"/>
    <w:rsid w:val="004E31D1"/>
    <w:rsid w:val="004E7885"/>
    <w:rsid w:val="004F016A"/>
    <w:rsid w:val="004F2206"/>
    <w:rsid w:val="004F39DD"/>
    <w:rsid w:val="00500F94"/>
    <w:rsid w:val="00502FB3"/>
    <w:rsid w:val="00503DE9"/>
    <w:rsid w:val="0050530C"/>
    <w:rsid w:val="00505DEA"/>
    <w:rsid w:val="00507782"/>
    <w:rsid w:val="00512A04"/>
    <w:rsid w:val="005214CE"/>
    <w:rsid w:val="005249F5"/>
    <w:rsid w:val="005260F7"/>
    <w:rsid w:val="00527871"/>
    <w:rsid w:val="00543BD1"/>
    <w:rsid w:val="00546D7E"/>
    <w:rsid w:val="00556113"/>
    <w:rsid w:val="00556BF1"/>
    <w:rsid w:val="0056120D"/>
    <w:rsid w:val="00564C12"/>
    <w:rsid w:val="005654B8"/>
    <w:rsid w:val="0057377F"/>
    <w:rsid w:val="005762CC"/>
    <w:rsid w:val="0058202F"/>
    <w:rsid w:val="00582D3D"/>
    <w:rsid w:val="00583889"/>
    <w:rsid w:val="00583F66"/>
    <w:rsid w:val="00586ED2"/>
    <w:rsid w:val="00592A14"/>
    <w:rsid w:val="00595386"/>
    <w:rsid w:val="005953B0"/>
    <w:rsid w:val="005A3621"/>
    <w:rsid w:val="005A4AC0"/>
    <w:rsid w:val="005A5A44"/>
    <w:rsid w:val="005A5FDF"/>
    <w:rsid w:val="005B0FB7"/>
    <w:rsid w:val="005B122A"/>
    <w:rsid w:val="005B5AC2"/>
    <w:rsid w:val="005C2833"/>
    <w:rsid w:val="005C2F3A"/>
    <w:rsid w:val="005E144D"/>
    <w:rsid w:val="005E1500"/>
    <w:rsid w:val="005E3A43"/>
    <w:rsid w:val="005E51A4"/>
    <w:rsid w:val="005F585F"/>
    <w:rsid w:val="005F741D"/>
    <w:rsid w:val="005F77C7"/>
    <w:rsid w:val="00620675"/>
    <w:rsid w:val="00622910"/>
    <w:rsid w:val="00622E24"/>
    <w:rsid w:val="006433C3"/>
    <w:rsid w:val="00645564"/>
    <w:rsid w:val="00647A30"/>
    <w:rsid w:val="00650F5B"/>
    <w:rsid w:val="00652DC0"/>
    <w:rsid w:val="00660584"/>
    <w:rsid w:val="006623D5"/>
    <w:rsid w:val="006670D7"/>
    <w:rsid w:val="00667797"/>
    <w:rsid w:val="006719EA"/>
    <w:rsid w:val="00671F13"/>
    <w:rsid w:val="0067400A"/>
    <w:rsid w:val="006747E0"/>
    <w:rsid w:val="00683B57"/>
    <w:rsid w:val="006847AD"/>
    <w:rsid w:val="0069114B"/>
    <w:rsid w:val="006A756A"/>
    <w:rsid w:val="006C019B"/>
    <w:rsid w:val="006C18D3"/>
    <w:rsid w:val="006C396A"/>
    <w:rsid w:val="006D1ADA"/>
    <w:rsid w:val="006D66F7"/>
    <w:rsid w:val="006E3B5D"/>
    <w:rsid w:val="00702D61"/>
    <w:rsid w:val="00705C9D"/>
    <w:rsid w:val="00705F13"/>
    <w:rsid w:val="00714F1D"/>
    <w:rsid w:val="00714F6E"/>
    <w:rsid w:val="00715225"/>
    <w:rsid w:val="0071790A"/>
    <w:rsid w:val="00717C37"/>
    <w:rsid w:val="00720CC6"/>
    <w:rsid w:val="00722DDB"/>
    <w:rsid w:val="00724728"/>
    <w:rsid w:val="00724F98"/>
    <w:rsid w:val="00730B9B"/>
    <w:rsid w:val="0073182E"/>
    <w:rsid w:val="0073307A"/>
    <w:rsid w:val="007331CB"/>
    <w:rsid w:val="007332FF"/>
    <w:rsid w:val="007408F5"/>
    <w:rsid w:val="00741EAE"/>
    <w:rsid w:val="007425CA"/>
    <w:rsid w:val="007551E1"/>
    <w:rsid w:val="00755248"/>
    <w:rsid w:val="007557E0"/>
    <w:rsid w:val="0076190B"/>
    <w:rsid w:val="0076355D"/>
    <w:rsid w:val="00763A2D"/>
    <w:rsid w:val="007761D8"/>
    <w:rsid w:val="00777795"/>
    <w:rsid w:val="00783A57"/>
    <w:rsid w:val="00784C92"/>
    <w:rsid w:val="007859CD"/>
    <w:rsid w:val="007867E1"/>
    <w:rsid w:val="00786FA3"/>
    <w:rsid w:val="007907E4"/>
    <w:rsid w:val="00796461"/>
    <w:rsid w:val="00797696"/>
    <w:rsid w:val="007A6A4F"/>
    <w:rsid w:val="007B03F5"/>
    <w:rsid w:val="007B59D3"/>
    <w:rsid w:val="007B5C09"/>
    <w:rsid w:val="007B5DA2"/>
    <w:rsid w:val="007C0966"/>
    <w:rsid w:val="007C19E7"/>
    <w:rsid w:val="007C4D2B"/>
    <w:rsid w:val="007C5CFD"/>
    <w:rsid w:val="007C6D9F"/>
    <w:rsid w:val="007D4893"/>
    <w:rsid w:val="007D7697"/>
    <w:rsid w:val="007E70CF"/>
    <w:rsid w:val="007E74A4"/>
    <w:rsid w:val="007F263F"/>
    <w:rsid w:val="007F46EA"/>
    <w:rsid w:val="007F5579"/>
    <w:rsid w:val="008002E8"/>
    <w:rsid w:val="00807288"/>
    <w:rsid w:val="0080766E"/>
    <w:rsid w:val="008105BE"/>
    <w:rsid w:val="00811169"/>
    <w:rsid w:val="00815297"/>
    <w:rsid w:val="00817BA1"/>
    <w:rsid w:val="00821D46"/>
    <w:rsid w:val="00823022"/>
    <w:rsid w:val="0082634E"/>
    <w:rsid w:val="0082758D"/>
    <w:rsid w:val="008313C4"/>
    <w:rsid w:val="00831B90"/>
    <w:rsid w:val="00832B35"/>
    <w:rsid w:val="00835434"/>
    <w:rsid w:val="008358C0"/>
    <w:rsid w:val="00842838"/>
    <w:rsid w:val="00846B1E"/>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C17FB"/>
    <w:rsid w:val="008D1B00"/>
    <w:rsid w:val="008D57B8"/>
    <w:rsid w:val="008E0345"/>
    <w:rsid w:val="008E03FC"/>
    <w:rsid w:val="008E2745"/>
    <w:rsid w:val="008E510B"/>
    <w:rsid w:val="00902B13"/>
    <w:rsid w:val="00911941"/>
    <w:rsid w:val="009138A0"/>
    <w:rsid w:val="00925F0F"/>
    <w:rsid w:val="00930C91"/>
    <w:rsid w:val="00932F6B"/>
    <w:rsid w:val="00933275"/>
    <w:rsid w:val="009436FF"/>
    <w:rsid w:val="009468BC"/>
    <w:rsid w:val="009616DF"/>
    <w:rsid w:val="00964B22"/>
    <w:rsid w:val="0096542F"/>
    <w:rsid w:val="00966B57"/>
    <w:rsid w:val="00967FA7"/>
    <w:rsid w:val="00970270"/>
    <w:rsid w:val="00971645"/>
    <w:rsid w:val="00974799"/>
    <w:rsid w:val="00977919"/>
    <w:rsid w:val="00983000"/>
    <w:rsid w:val="0098319F"/>
    <w:rsid w:val="00984D9B"/>
    <w:rsid w:val="009863A2"/>
    <w:rsid w:val="009870FA"/>
    <w:rsid w:val="009921C3"/>
    <w:rsid w:val="0099551D"/>
    <w:rsid w:val="009973A9"/>
    <w:rsid w:val="009A5897"/>
    <w:rsid w:val="009A5F24"/>
    <w:rsid w:val="009A67F3"/>
    <w:rsid w:val="009A6A14"/>
    <w:rsid w:val="009A7716"/>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42879"/>
    <w:rsid w:val="00A50829"/>
    <w:rsid w:val="00A925EC"/>
    <w:rsid w:val="00A929AA"/>
    <w:rsid w:val="00A92B6B"/>
    <w:rsid w:val="00A955A9"/>
    <w:rsid w:val="00AA4C49"/>
    <w:rsid w:val="00AA541E"/>
    <w:rsid w:val="00AB0FFB"/>
    <w:rsid w:val="00AD0C4C"/>
    <w:rsid w:val="00AD0DA4"/>
    <w:rsid w:val="00AD134E"/>
    <w:rsid w:val="00AD1B26"/>
    <w:rsid w:val="00AD23F7"/>
    <w:rsid w:val="00AD4169"/>
    <w:rsid w:val="00AD7557"/>
    <w:rsid w:val="00AE0E70"/>
    <w:rsid w:val="00AE25C6"/>
    <w:rsid w:val="00AE306C"/>
    <w:rsid w:val="00AF28C1"/>
    <w:rsid w:val="00AF5F00"/>
    <w:rsid w:val="00B02DC0"/>
    <w:rsid w:val="00B02EF1"/>
    <w:rsid w:val="00B034A5"/>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81261"/>
    <w:rsid w:val="00B8196A"/>
    <w:rsid w:val="00B8223E"/>
    <w:rsid w:val="00B832AE"/>
    <w:rsid w:val="00B86678"/>
    <w:rsid w:val="00B915E2"/>
    <w:rsid w:val="00B92F9B"/>
    <w:rsid w:val="00B941B3"/>
    <w:rsid w:val="00B96513"/>
    <w:rsid w:val="00BA1D47"/>
    <w:rsid w:val="00BA4971"/>
    <w:rsid w:val="00BA66F0"/>
    <w:rsid w:val="00BB2239"/>
    <w:rsid w:val="00BB2AE7"/>
    <w:rsid w:val="00BB6101"/>
    <w:rsid w:val="00BB6464"/>
    <w:rsid w:val="00BC1BB8"/>
    <w:rsid w:val="00BD0F38"/>
    <w:rsid w:val="00BD7FE1"/>
    <w:rsid w:val="00BE37CA"/>
    <w:rsid w:val="00BE4B2A"/>
    <w:rsid w:val="00BE5D76"/>
    <w:rsid w:val="00BE6144"/>
    <w:rsid w:val="00BE635A"/>
    <w:rsid w:val="00BF17E9"/>
    <w:rsid w:val="00BF2ABB"/>
    <w:rsid w:val="00BF4FDE"/>
    <w:rsid w:val="00BF5099"/>
    <w:rsid w:val="00C10F10"/>
    <w:rsid w:val="00C15D4D"/>
    <w:rsid w:val="00C175DC"/>
    <w:rsid w:val="00C17E3A"/>
    <w:rsid w:val="00C30171"/>
    <w:rsid w:val="00C309D8"/>
    <w:rsid w:val="00C33998"/>
    <w:rsid w:val="00C35718"/>
    <w:rsid w:val="00C43519"/>
    <w:rsid w:val="00C51537"/>
    <w:rsid w:val="00C52BC3"/>
    <w:rsid w:val="00C5584B"/>
    <w:rsid w:val="00C61AFA"/>
    <w:rsid w:val="00C61D64"/>
    <w:rsid w:val="00C62099"/>
    <w:rsid w:val="00C63AAE"/>
    <w:rsid w:val="00C64EA3"/>
    <w:rsid w:val="00C65D24"/>
    <w:rsid w:val="00C72867"/>
    <w:rsid w:val="00C75E81"/>
    <w:rsid w:val="00C75F52"/>
    <w:rsid w:val="00C86609"/>
    <w:rsid w:val="00C906D5"/>
    <w:rsid w:val="00C92B4C"/>
    <w:rsid w:val="00C954F6"/>
    <w:rsid w:val="00C95D30"/>
    <w:rsid w:val="00CA16C0"/>
    <w:rsid w:val="00CA6BC5"/>
    <w:rsid w:val="00CB3E57"/>
    <w:rsid w:val="00CC1CCA"/>
    <w:rsid w:val="00CC61CD"/>
    <w:rsid w:val="00CD146B"/>
    <w:rsid w:val="00CD3DFC"/>
    <w:rsid w:val="00CD5011"/>
    <w:rsid w:val="00CE353C"/>
    <w:rsid w:val="00CE640F"/>
    <w:rsid w:val="00CE76BC"/>
    <w:rsid w:val="00CF540E"/>
    <w:rsid w:val="00CF776D"/>
    <w:rsid w:val="00D02F07"/>
    <w:rsid w:val="00D04A23"/>
    <w:rsid w:val="00D23346"/>
    <w:rsid w:val="00D27EBE"/>
    <w:rsid w:val="00D36A49"/>
    <w:rsid w:val="00D42A3B"/>
    <w:rsid w:val="00D517C6"/>
    <w:rsid w:val="00D5405C"/>
    <w:rsid w:val="00D5439A"/>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D054B"/>
    <w:rsid w:val="00DD64C2"/>
    <w:rsid w:val="00DE33B5"/>
    <w:rsid w:val="00DE5E18"/>
    <w:rsid w:val="00DE6E01"/>
    <w:rsid w:val="00DF0487"/>
    <w:rsid w:val="00DF5EA4"/>
    <w:rsid w:val="00E02681"/>
    <w:rsid w:val="00E02792"/>
    <w:rsid w:val="00E034D8"/>
    <w:rsid w:val="00E04CC0"/>
    <w:rsid w:val="00E15816"/>
    <w:rsid w:val="00E160D5"/>
    <w:rsid w:val="00E239FF"/>
    <w:rsid w:val="00E26E6E"/>
    <w:rsid w:val="00E27D7B"/>
    <w:rsid w:val="00E30556"/>
    <w:rsid w:val="00E30981"/>
    <w:rsid w:val="00E33136"/>
    <w:rsid w:val="00E34066"/>
    <w:rsid w:val="00E34D7C"/>
    <w:rsid w:val="00E36C7E"/>
    <w:rsid w:val="00E3723D"/>
    <w:rsid w:val="00E44C89"/>
    <w:rsid w:val="00E45536"/>
    <w:rsid w:val="00E459B8"/>
    <w:rsid w:val="00E50234"/>
    <w:rsid w:val="00E61BA2"/>
    <w:rsid w:val="00E63586"/>
    <w:rsid w:val="00E63864"/>
    <w:rsid w:val="00E6403F"/>
    <w:rsid w:val="00E64725"/>
    <w:rsid w:val="00E64767"/>
    <w:rsid w:val="00E71302"/>
    <w:rsid w:val="00E770C4"/>
    <w:rsid w:val="00E77ACA"/>
    <w:rsid w:val="00E84C5A"/>
    <w:rsid w:val="00E861DB"/>
    <w:rsid w:val="00E9059A"/>
    <w:rsid w:val="00E90FA2"/>
    <w:rsid w:val="00E91A5A"/>
    <w:rsid w:val="00E93406"/>
    <w:rsid w:val="00E956C5"/>
    <w:rsid w:val="00E95C39"/>
    <w:rsid w:val="00EA2C39"/>
    <w:rsid w:val="00EB0A3C"/>
    <w:rsid w:val="00EB0A96"/>
    <w:rsid w:val="00EB3D43"/>
    <w:rsid w:val="00EB77F9"/>
    <w:rsid w:val="00EC2E8E"/>
    <w:rsid w:val="00EC5769"/>
    <w:rsid w:val="00EC7D00"/>
    <w:rsid w:val="00ED0304"/>
    <w:rsid w:val="00ED087C"/>
    <w:rsid w:val="00ED11BD"/>
    <w:rsid w:val="00EE38FA"/>
    <w:rsid w:val="00EE3E2C"/>
    <w:rsid w:val="00EE466C"/>
    <w:rsid w:val="00EE4D10"/>
    <w:rsid w:val="00EE5D23"/>
    <w:rsid w:val="00EE750D"/>
    <w:rsid w:val="00EF3CA4"/>
    <w:rsid w:val="00EF5E1F"/>
    <w:rsid w:val="00EF7859"/>
    <w:rsid w:val="00F014DA"/>
    <w:rsid w:val="00F02591"/>
    <w:rsid w:val="00F13212"/>
    <w:rsid w:val="00F14273"/>
    <w:rsid w:val="00F15D8F"/>
    <w:rsid w:val="00F47021"/>
    <w:rsid w:val="00F479D5"/>
    <w:rsid w:val="00F5696E"/>
    <w:rsid w:val="00F60EFF"/>
    <w:rsid w:val="00F67D2D"/>
    <w:rsid w:val="00F70155"/>
    <w:rsid w:val="00F860CC"/>
    <w:rsid w:val="00F90858"/>
    <w:rsid w:val="00F94398"/>
    <w:rsid w:val="00FA228B"/>
    <w:rsid w:val="00FA2FE1"/>
    <w:rsid w:val="00FA4629"/>
    <w:rsid w:val="00FA64B4"/>
    <w:rsid w:val="00FA6B6D"/>
    <w:rsid w:val="00FA6D8F"/>
    <w:rsid w:val="00FB0A2D"/>
    <w:rsid w:val="00FB2B56"/>
    <w:rsid w:val="00FB4E3A"/>
    <w:rsid w:val="00FC12BF"/>
    <w:rsid w:val="00FC16A5"/>
    <w:rsid w:val="00FC1A7C"/>
    <w:rsid w:val="00FC2C60"/>
    <w:rsid w:val="00FC64AB"/>
    <w:rsid w:val="00FD3E6F"/>
    <w:rsid w:val="00FD51B9"/>
    <w:rsid w:val="00FE2A39"/>
    <w:rsid w:val="00FE2E35"/>
    <w:rsid w:val="00FE2EF6"/>
    <w:rsid w:val="00FE30BD"/>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EA7127-02A7-4671-AB2D-D5C45335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styleId="CommentReference">
    <w:name w:val="annotation reference"/>
    <w:basedOn w:val="DefaultParagraphFont"/>
    <w:uiPriority w:val="99"/>
    <w:semiHidden/>
    <w:unhideWhenUsed/>
    <w:rsid w:val="00437D95"/>
    <w:rPr>
      <w:sz w:val="16"/>
      <w:szCs w:val="16"/>
    </w:rPr>
  </w:style>
  <w:style w:type="paragraph" w:styleId="CommentText">
    <w:name w:val="annotation text"/>
    <w:basedOn w:val="Normal"/>
    <w:link w:val="CommentTextChar"/>
    <w:uiPriority w:val="99"/>
    <w:semiHidden/>
    <w:unhideWhenUsed/>
    <w:rsid w:val="00437D9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37D95"/>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437D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D95"/>
    <w:rPr>
      <w:rFonts w:ascii="Segoe UI" w:hAnsi="Segoe UI" w:cs="Segoe UI"/>
      <w:sz w:val="18"/>
      <w:szCs w:val="18"/>
    </w:rPr>
  </w:style>
  <w:style w:type="paragraph" w:customStyle="1" w:styleId="Default">
    <w:name w:val="Default"/>
    <w:rsid w:val="00437D95"/>
    <w:pPr>
      <w:autoSpaceDE w:val="0"/>
      <w:autoSpaceDN w:val="0"/>
      <w:adjustRightInd w:val="0"/>
      <w:spacing w:after="0"/>
    </w:pPr>
    <w:rPr>
      <w:rFonts w:ascii="Times New Roman" w:eastAsiaTheme="minorHAnsi" w:hAnsi="Times New Roman"/>
      <w:color w:val="000000"/>
      <w:sz w:val="24"/>
      <w:szCs w:val="24"/>
    </w:rPr>
  </w:style>
  <w:style w:type="character" w:styleId="Emphasis">
    <w:name w:val="Emphasis"/>
    <w:basedOn w:val="DefaultParagraphFont"/>
    <w:uiPriority w:val="20"/>
    <w:qFormat/>
    <w:rsid w:val="00437D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psycnet.apa.org/doi/10.1037/0033-295X.100.4.674" TargetMode="External"/><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6.emf"/><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emf"/><Relationship Id="rId27" Type="http://schemas.openxmlformats.org/officeDocument/2006/relationships/hyperlink" Target="https://doi.org/10.1002/cbm.1957"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long%20document%20-%20blo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2279C96D4D4ECC9296C5D75B777274"/>
        <w:category>
          <w:name w:val="General"/>
          <w:gallery w:val="placeholder"/>
        </w:category>
        <w:types>
          <w:type w:val="bbPlcHdr"/>
        </w:types>
        <w:behaviors>
          <w:behavior w:val="content"/>
        </w:behaviors>
        <w:guid w:val="{63332079-380E-48EA-A70C-123265F1D116}"/>
      </w:docPartPr>
      <w:docPartBody>
        <w:p w:rsidR="00A15B42" w:rsidRDefault="003F003C">
          <w:pPr>
            <w:pStyle w:val="E32279C96D4D4ECC9296C5D75B777274"/>
          </w:pPr>
          <w:r>
            <w:t>&lt;Document title&gt;</w:t>
          </w:r>
        </w:p>
      </w:docPartBody>
    </w:docPart>
    <w:docPart>
      <w:docPartPr>
        <w:name w:val="34ECC3ED156040E0B48D504B3FA44AC3"/>
        <w:category>
          <w:name w:val="General"/>
          <w:gallery w:val="placeholder"/>
        </w:category>
        <w:types>
          <w:type w:val="bbPlcHdr"/>
        </w:types>
        <w:behaviors>
          <w:behavior w:val="content"/>
        </w:behaviors>
        <w:guid w:val="{7C0FBC48-3612-43FA-8F5D-7BD4856A5D69}"/>
      </w:docPartPr>
      <w:docPartBody>
        <w:p w:rsidR="00A15B42" w:rsidRDefault="003F003C">
          <w:pPr>
            <w:pStyle w:val="34ECC3ED156040E0B48D504B3FA44AC3"/>
          </w:pPr>
          <w:r w:rsidRPr="004E7885">
            <w:rPr>
              <w:rStyle w:val="PlaceholderText"/>
            </w:rPr>
            <w:t>&lt;Document title&gt;</w:t>
          </w:r>
        </w:p>
      </w:docPartBody>
    </w:docPart>
    <w:docPart>
      <w:docPartPr>
        <w:name w:val="EB8A80C13FE9498CB0BE51C51CB166A5"/>
        <w:category>
          <w:name w:val="General"/>
          <w:gallery w:val="placeholder"/>
        </w:category>
        <w:types>
          <w:type w:val="bbPlcHdr"/>
        </w:types>
        <w:behaviors>
          <w:behavior w:val="content"/>
        </w:behaviors>
        <w:guid w:val="{6B38A57C-6CE9-4F23-9824-87C303DA6CC5}"/>
      </w:docPartPr>
      <w:docPartBody>
        <w:p w:rsidR="00A15B42" w:rsidRDefault="003F003C">
          <w:pPr>
            <w:pStyle w:val="EB8A80C13FE9498CB0BE51C51CB166A5"/>
          </w:pPr>
          <w:r w:rsidRPr="004E7885">
            <w:rPr>
              <w:rStyle w:val="PlaceholderText"/>
            </w:rPr>
            <w:t>&lt;Document title&gt;</w:t>
          </w:r>
        </w:p>
      </w:docPartBody>
    </w:docPart>
    <w:docPart>
      <w:docPartPr>
        <w:name w:val="A983DAF7C7B2456CB6840589F935499F"/>
        <w:category>
          <w:name w:val="General"/>
          <w:gallery w:val="placeholder"/>
        </w:category>
        <w:types>
          <w:type w:val="bbPlcHdr"/>
        </w:types>
        <w:behaviors>
          <w:behavior w:val="content"/>
        </w:behaviors>
        <w:guid w:val="{63620360-A8BF-4DCE-B789-58AB7F206F12}"/>
      </w:docPartPr>
      <w:docPartBody>
        <w:p w:rsidR="00964313" w:rsidRDefault="00AB6320" w:rsidP="00AB6320">
          <w:pPr>
            <w:pStyle w:val="A983DAF7C7B2456CB6840589F935499F"/>
          </w:pPr>
          <w:r w:rsidRPr="007B29CC">
            <w:rPr>
              <w:rStyle w:val="PlaceholderText"/>
            </w:rPr>
            <w:t>[Company]</w:t>
          </w:r>
        </w:p>
      </w:docPartBody>
    </w:docPart>
    <w:docPart>
      <w:docPartPr>
        <w:name w:val="FB559648318E489DAE4BD27E5F03FB7C"/>
        <w:category>
          <w:name w:val="General"/>
          <w:gallery w:val="placeholder"/>
        </w:category>
        <w:types>
          <w:type w:val="bbPlcHdr"/>
        </w:types>
        <w:behaviors>
          <w:behavior w:val="content"/>
        </w:behaviors>
        <w:guid w:val="{EC9B7A49-1636-4030-AB07-1F3D317643AC}"/>
      </w:docPartPr>
      <w:docPartBody>
        <w:p w:rsidR="00964313" w:rsidRDefault="00AB6320" w:rsidP="00AB6320">
          <w:pPr>
            <w:pStyle w:val="FB559648318E489DAE4BD27E5F03FB7C"/>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3C"/>
    <w:rsid w:val="003B478D"/>
    <w:rsid w:val="003F003C"/>
    <w:rsid w:val="005858DD"/>
    <w:rsid w:val="006C1A08"/>
    <w:rsid w:val="00882CEE"/>
    <w:rsid w:val="00964313"/>
    <w:rsid w:val="009D2639"/>
    <w:rsid w:val="00A15B42"/>
    <w:rsid w:val="00AB6320"/>
    <w:rsid w:val="00BA4E2A"/>
    <w:rsid w:val="00C94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2279C96D4D4ECC9296C5D75B777274">
    <w:name w:val="E32279C96D4D4ECC9296C5D75B777274"/>
  </w:style>
  <w:style w:type="character" w:styleId="PlaceholderText">
    <w:name w:val="Placeholder Text"/>
    <w:basedOn w:val="DefaultParagraphFont"/>
    <w:uiPriority w:val="99"/>
    <w:semiHidden/>
    <w:rsid w:val="00AB6320"/>
    <w:rPr>
      <w:color w:val="808080"/>
    </w:rPr>
  </w:style>
  <w:style w:type="paragraph" w:customStyle="1" w:styleId="34ECC3ED156040E0B48D504B3FA44AC3">
    <w:name w:val="34ECC3ED156040E0B48D504B3FA44AC3"/>
  </w:style>
  <w:style w:type="paragraph" w:customStyle="1" w:styleId="EB8A80C13FE9498CB0BE51C51CB166A5">
    <w:name w:val="EB8A80C13FE9498CB0BE51C51CB166A5"/>
  </w:style>
  <w:style w:type="paragraph" w:customStyle="1" w:styleId="790F09C2CD8F49F68FC8C55603A0F4A4">
    <w:name w:val="790F09C2CD8F49F68FC8C55603A0F4A4"/>
  </w:style>
  <w:style w:type="paragraph" w:customStyle="1" w:styleId="E3EAA3ED2DE64E359AF35CDB8C5E6C1C">
    <w:name w:val="E3EAA3ED2DE64E359AF35CDB8C5E6C1C"/>
  </w:style>
  <w:style w:type="paragraph" w:customStyle="1" w:styleId="013E1BB296604511BDA8DB1EC900B290">
    <w:name w:val="013E1BB296604511BDA8DB1EC900B290"/>
  </w:style>
  <w:style w:type="paragraph" w:customStyle="1" w:styleId="8FC1B4CFB4944C20B4202EBD39763C74">
    <w:name w:val="8FC1B4CFB4944C20B4202EBD39763C74"/>
    <w:rsid w:val="00AB6320"/>
  </w:style>
  <w:style w:type="paragraph" w:customStyle="1" w:styleId="83FDF6DFB6A542619E01EAB4EC9AA2E9">
    <w:name w:val="83FDF6DFB6A542619E01EAB4EC9AA2E9"/>
    <w:rsid w:val="00AB6320"/>
  </w:style>
  <w:style w:type="paragraph" w:customStyle="1" w:styleId="A983DAF7C7B2456CB6840589F935499F">
    <w:name w:val="A983DAF7C7B2456CB6840589F935499F"/>
    <w:rsid w:val="00AB6320"/>
  </w:style>
  <w:style w:type="paragraph" w:customStyle="1" w:styleId="FB559648318E489DAE4BD27E5F03FB7C">
    <w:name w:val="FB559648318E489DAE4BD27E5F03FB7C"/>
    <w:rsid w:val="00AB6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F3371B-0BB7-4D62-AF71-34EEE014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long document - block.dotx</Template>
  <TotalTime>25</TotalTime>
  <Pages>17</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The transition from youth to adult custody in the Northern Territory</vt:lpstr>
    </vt:vector>
  </TitlesOfParts>
  <Company>Department of the Attorney-General and Justice</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transition from youth to adult custody in the Northern Territory</dc:title>
  <dc:creator>Northern Territory Government</dc:creator>
  <cp:lastModifiedBy>Euan Hawthorne</cp:lastModifiedBy>
  <cp:revision>11</cp:revision>
  <cp:lastPrinted>2020-11-19T04:33:00Z</cp:lastPrinted>
  <dcterms:created xsi:type="dcterms:W3CDTF">2020-11-06T05:47:00Z</dcterms:created>
  <dcterms:modified xsi:type="dcterms:W3CDTF">2021-05-31T04:16:00Z</dcterms:modified>
</cp:coreProperties>
</file>