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78" w:rsidRPr="00097FC2" w:rsidRDefault="00D41678" w:rsidP="00AD0A22"/>
    <w:p w:rsidR="008B1422" w:rsidRPr="00097FC2" w:rsidRDefault="00037072" w:rsidP="00AD0A22">
      <w:r>
        <w:rPr>
          <w:rFonts w:ascii="Lato Black" w:hAnsi="Lato Black"/>
          <w:noProof/>
          <w:color w:val="FFFFFF" w:themeColor="background1"/>
          <w:sz w:val="66"/>
          <w:szCs w:val="66"/>
          <w:lang w:eastAsia="en-AU"/>
        </w:rPr>
        <mc:AlternateContent>
          <mc:Choice Requires="wpg">
            <w:drawing>
              <wp:anchor distT="0" distB="0" distL="114300" distR="114300" simplePos="0" relativeHeight="251662336" behindDoc="1" locked="0" layoutInCell="1" allowOverlap="1" wp14:anchorId="3ABF0AF9" wp14:editId="4E14C9AC">
                <wp:simplePos x="0" y="0"/>
                <wp:positionH relativeFrom="column">
                  <wp:posOffset>-262890</wp:posOffset>
                </wp:positionH>
                <wp:positionV relativeFrom="paragraph">
                  <wp:posOffset>43180</wp:posOffset>
                </wp:positionV>
                <wp:extent cx="6519554" cy="8253351"/>
                <wp:effectExtent l="0" t="0" r="0" b="0"/>
                <wp:wrapNone/>
                <wp:docPr id="5" name="Group 5"/>
                <wp:cNvGraphicFramePr/>
                <a:graphic xmlns:a="http://schemas.openxmlformats.org/drawingml/2006/main">
                  <a:graphicData uri="http://schemas.microsoft.com/office/word/2010/wordprocessingGroup">
                    <wpg:wgp>
                      <wpg:cNvGrpSpPr/>
                      <wpg:grpSpPr>
                        <a:xfrm>
                          <a:off x="0" y="0"/>
                          <a:ext cx="6519554" cy="8253351"/>
                          <a:chOff x="0" y="0"/>
                          <a:chExt cx="6519554" cy="8253351"/>
                        </a:xfrm>
                        <a:solidFill>
                          <a:srgbClr val="CB6015"/>
                        </a:solidFill>
                      </wpg:grpSpPr>
                      <wps:wsp>
                        <wps:cNvPr id="6" name="Rectangle 6"/>
                        <wps:cNvSpPr/>
                        <wps:spPr>
                          <a:xfrm>
                            <a:off x="0" y="0"/>
                            <a:ext cx="6519554" cy="825335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17517" y="7612083"/>
                            <a:ext cx="5889625" cy="626745"/>
                          </a:xfrm>
                          <a:prstGeom prst="rect">
                            <a:avLst/>
                          </a:prstGeom>
                          <a:grpFill/>
                          <a:ln w="9525">
                            <a:noFill/>
                            <a:miter lim="800000"/>
                            <a:headEnd/>
                            <a:tailEnd/>
                          </a:ln>
                        </wps:spPr>
                        <wps:txbx>
                          <w:txbxContent>
                            <w:p w:rsidR="00037072" w:rsidRPr="00037072" w:rsidRDefault="00037072" w:rsidP="00037072">
                              <w:pPr>
                                <w:jc w:val="right"/>
                                <w:rPr>
                                  <w:sz w:val="16"/>
                                </w:rPr>
                              </w:pPr>
                              <w:r w:rsidRPr="00037072">
                                <w:rPr>
                                  <w:b/>
                                  <w:color w:val="FFFFFF" w:themeColor="background1"/>
                                  <w:sz w:val="48"/>
                                  <w:szCs w:val="66"/>
                                </w:rPr>
                                <w:t>July 2017</w:t>
                              </w:r>
                            </w:p>
                          </w:txbxContent>
                        </wps:txbx>
                        <wps:bodyPr rot="0" vert="horz" wrap="square" lIns="91440" tIns="45720" rIns="91440" bIns="45720" anchor="t" anchorCtr="0">
                          <a:noAutofit/>
                        </wps:bodyPr>
                      </wps:wsp>
                    </wpg:wgp>
                  </a:graphicData>
                </a:graphic>
              </wp:anchor>
            </w:drawing>
          </mc:Choice>
          <mc:Fallback>
            <w:pict>
              <v:group id="Group 5" o:spid="_x0000_s1026" style="position:absolute;margin-left:-20.7pt;margin-top:3.4pt;width:513.35pt;height:649.85pt;z-index:-251654144" coordsize="65195,8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">
                <v:rect id="Rectangle 6" o:spid="_x0000_s1027" style="position:absolute;width:65195;height:8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shapetype id="_x0000_t202" coordsize="21600,21600" o:spt="202" path="m,l,21600r21600,l21600,xe">
                  <v:stroke joinstyle="miter"/>
                  <v:path gradientshapeok="t" o:connecttype="rect"/>
                </v:shapetype>
                <v:shape id="_x0000_s1028" type="#_x0000_t202" style="position:absolute;left:6175;top:76120;width:58896;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37072" w:rsidRPr="00037072" w:rsidRDefault="00037072" w:rsidP="00037072">
                        <w:pPr>
                          <w:jc w:val="right"/>
                          <w:rPr>
                            <w:sz w:val="16"/>
                          </w:rPr>
                        </w:pPr>
                        <w:r w:rsidRPr="00037072">
                          <w:rPr>
                            <w:b/>
                            <w:color w:val="FFFFFF" w:themeColor="background1"/>
                            <w:sz w:val="48"/>
                            <w:szCs w:val="66"/>
                          </w:rPr>
                          <w:t>July 2017</w:t>
                        </w:r>
                      </w:p>
                    </w:txbxContent>
                  </v:textbox>
                </v:shape>
              </v:group>
            </w:pict>
          </mc:Fallback>
        </mc:AlternateContent>
      </w:r>
    </w:p>
    <w:p w:rsidR="008B1422" w:rsidRPr="00097FC2" w:rsidRDefault="00037072" w:rsidP="00AD0A22">
      <w:r>
        <w:rPr>
          <w:noProof/>
          <w:lang w:eastAsia="en-AU"/>
        </w:rPr>
        <mc:AlternateContent>
          <mc:Choice Requires="wps">
            <w:drawing>
              <wp:anchor distT="0" distB="0" distL="114300" distR="114300" simplePos="0" relativeHeight="251656192" behindDoc="0" locked="0" layoutInCell="1" allowOverlap="1" wp14:anchorId="575B3C1E" wp14:editId="621E282F">
                <wp:simplePos x="0" y="0"/>
                <wp:positionH relativeFrom="column">
                  <wp:posOffset>275590</wp:posOffset>
                </wp:positionH>
                <wp:positionV relativeFrom="paragraph">
                  <wp:posOffset>10160</wp:posOffset>
                </wp:positionV>
                <wp:extent cx="5722620" cy="3009265"/>
                <wp:effectExtent l="0" t="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009265"/>
                        </a:xfrm>
                        <a:prstGeom prst="rect">
                          <a:avLst/>
                        </a:prstGeom>
                        <a:noFill/>
                        <a:ln w="9525">
                          <a:noFill/>
                          <a:miter lim="800000"/>
                          <a:headEnd/>
                          <a:tailEnd/>
                        </a:ln>
                      </wps:spPr>
                      <wps:txbx>
                        <w:txbxContent>
                          <w:p w:rsidR="009B2E70" w:rsidRPr="00A8722C" w:rsidRDefault="009B2E70" w:rsidP="005177DB">
                            <w:pPr>
                              <w:jc w:val="right"/>
                              <w:rPr>
                                <w:b/>
                                <w:color w:val="FFFFFF" w:themeColor="background1"/>
                                <w:sz w:val="56"/>
                              </w:rPr>
                            </w:pPr>
                            <w:r>
                              <w:rPr>
                                <w:b/>
                                <w:color w:val="FFFFFF" w:themeColor="background1"/>
                                <w:sz w:val="56"/>
                              </w:rPr>
                              <w:t>Grants Management Framework</w:t>
                            </w:r>
                          </w:p>
                          <w:p w:rsidR="009B2E70" w:rsidRPr="00A8722C" w:rsidRDefault="009B2E70" w:rsidP="005177DB">
                            <w:pPr>
                              <w:jc w:val="right"/>
                              <w:rPr>
                                <w:color w:val="FFFFFF" w:themeColor="background1"/>
                                <w:sz w:val="28"/>
                              </w:rPr>
                            </w:pPr>
                          </w:p>
                          <w:p w:rsidR="009B2E70" w:rsidRPr="005D733A" w:rsidRDefault="009B2E70" w:rsidP="005177DB">
                            <w:pPr>
                              <w:jc w:val="right"/>
                              <w:rPr>
                                <w:color w:val="FFFFFF" w:themeColor="background1"/>
                                <w:sz w:val="32"/>
                              </w:rPr>
                            </w:pPr>
                            <w:r w:rsidRPr="005D733A">
                              <w:rPr>
                                <w:color w:val="FFFFFF" w:themeColor="background1"/>
                                <w:sz w:val="32"/>
                              </w:rPr>
                              <w:t>Principles and</w:t>
                            </w:r>
                            <w:r>
                              <w:rPr>
                                <w:color w:val="FFFFFF" w:themeColor="background1"/>
                                <w:sz w:val="32"/>
                              </w:rPr>
                              <w:t xml:space="preserve"> p</w:t>
                            </w:r>
                            <w:r w:rsidRPr="005D733A">
                              <w:rPr>
                                <w:color w:val="FFFFFF" w:themeColor="background1"/>
                                <w:sz w:val="32"/>
                              </w:rPr>
                              <w:t xml:space="preserve">olicies for </w:t>
                            </w:r>
                            <w:r>
                              <w:rPr>
                                <w:color w:val="FFFFFF" w:themeColor="background1"/>
                                <w:sz w:val="32"/>
                              </w:rPr>
                              <w:t>b</w:t>
                            </w:r>
                            <w:r w:rsidRPr="005D733A">
                              <w:rPr>
                                <w:color w:val="FFFFFF" w:themeColor="background1"/>
                                <w:sz w:val="32"/>
                              </w:rPr>
                              <w:t xml:space="preserve">est </w:t>
                            </w:r>
                            <w:r>
                              <w:rPr>
                                <w:color w:val="FFFFFF" w:themeColor="background1"/>
                                <w:sz w:val="32"/>
                              </w:rPr>
                              <w:t>p</w:t>
                            </w:r>
                            <w:r w:rsidRPr="005D733A">
                              <w:rPr>
                                <w:color w:val="FFFFFF" w:themeColor="background1"/>
                                <w:sz w:val="32"/>
                              </w:rPr>
                              <w:t xml:space="preserve">ractice </w:t>
                            </w:r>
                          </w:p>
                          <w:p w:rsidR="009B2E70" w:rsidRPr="005D733A" w:rsidRDefault="009B2E70" w:rsidP="005177DB">
                            <w:pPr>
                              <w:jc w:val="right"/>
                              <w:rPr>
                                <w:color w:val="FFFFFF" w:themeColor="background1"/>
                                <w:sz w:val="32"/>
                              </w:rPr>
                            </w:pPr>
                            <w:r w:rsidRPr="005D733A">
                              <w:rPr>
                                <w:color w:val="FFFFFF" w:themeColor="background1"/>
                                <w:sz w:val="32"/>
                              </w:rPr>
                              <w:t xml:space="preserve">in the </w:t>
                            </w:r>
                            <w:r>
                              <w:rPr>
                                <w:color w:val="FFFFFF" w:themeColor="background1"/>
                                <w:sz w:val="32"/>
                              </w:rPr>
                              <w:t>a</w:t>
                            </w:r>
                            <w:r w:rsidRPr="005D733A">
                              <w:rPr>
                                <w:color w:val="FFFFFF" w:themeColor="background1"/>
                                <w:sz w:val="32"/>
                              </w:rPr>
                              <w:t xml:space="preserve">dministration of </w:t>
                            </w:r>
                            <w:r>
                              <w:rPr>
                                <w:color w:val="FFFFFF" w:themeColor="background1"/>
                                <w:sz w:val="32"/>
                              </w:rPr>
                              <w:t>gr</w:t>
                            </w:r>
                            <w:r w:rsidRPr="005D733A">
                              <w:rPr>
                                <w:color w:val="FFFFFF" w:themeColor="background1"/>
                                <w:sz w:val="32"/>
                              </w:rPr>
                              <w:t>ants</w:t>
                            </w:r>
                          </w:p>
                        </w:txbxContent>
                      </wps:txbx>
                      <wps:bodyPr rot="0" vert="horz" wrap="square" lIns="91440" tIns="45720" rIns="91440" bIns="45720" anchor="t" anchorCtr="0">
                        <a:spAutoFit/>
                      </wps:bodyPr>
                    </wps:wsp>
                  </a:graphicData>
                </a:graphic>
              </wp:anchor>
            </w:drawing>
          </mc:Choice>
          <mc:Fallback>
            <w:pict>
              <v:shape id="Text Box 2" o:spid="_x0000_s1029" type="#_x0000_t202" style="position:absolute;margin-left:21.7pt;margin-top:.8pt;width:450.6pt;height:236.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" filled="f" stroked="f">
                <v:textbox style="mso-fit-shape-to-text:t">
                  <w:txbxContent>
                    <w:p w:rsidR="009B2E70" w:rsidRPr="00A8722C" w:rsidRDefault="009B2E70" w:rsidP="005177DB">
                      <w:pPr>
                        <w:jc w:val="right"/>
                        <w:rPr>
                          <w:b/>
                          <w:color w:val="FFFFFF" w:themeColor="background1"/>
                          <w:sz w:val="56"/>
                        </w:rPr>
                      </w:pPr>
                      <w:r>
                        <w:rPr>
                          <w:b/>
                          <w:color w:val="FFFFFF" w:themeColor="background1"/>
                          <w:sz w:val="56"/>
                        </w:rPr>
                        <w:t>Grants Management Framework</w:t>
                      </w:r>
                    </w:p>
                    <w:p w:rsidR="009B2E70" w:rsidRPr="00A8722C" w:rsidRDefault="009B2E70" w:rsidP="005177DB">
                      <w:pPr>
                        <w:jc w:val="right"/>
                        <w:rPr>
                          <w:color w:val="FFFFFF" w:themeColor="background1"/>
                          <w:sz w:val="28"/>
                        </w:rPr>
                      </w:pPr>
                    </w:p>
                    <w:p w:rsidR="009B2E70" w:rsidRPr="005D733A" w:rsidRDefault="009B2E70" w:rsidP="005177DB">
                      <w:pPr>
                        <w:jc w:val="right"/>
                        <w:rPr>
                          <w:color w:val="FFFFFF" w:themeColor="background1"/>
                          <w:sz w:val="32"/>
                        </w:rPr>
                      </w:pPr>
                      <w:r w:rsidRPr="005D733A">
                        <w:rPr>
                          <w:color w:val="FFFFFF" w:themeColor="background1"/>
                          <w:sz w:val="32"/>
                        </w:rPr>
                        <w:t>Principles and</w:t>
                      </w:r>
                      <w:r>
                        <w:rPr>
                          <w:color w:val="FFFFFF" w:themeColor="background1"/>
                          <w:sz w:val="32"/>
                        </w:rPr>
                        <w:t xml:space="preserve"> p</w:t>
                      </w:r>
                      <w:r w:rsidRPr="005D733A">
                        <w:rPr>
                          <w:color w:val="FFFFFF" w:themeColor="background1"/>
                          <w:sz w:val="32"/>
                        </w:rPr>
                        <w:t xml:space="preserve">olicies for </w:t>
                      </w:r>
                      <w:r>
                        <w:rPr>
                          <w:color w:val="FFFFFF" w:themeColor="background1"/>
                          <w:sz w:val="32"/>
                        </w:rPr>
                        <w:t>b</w:t>
                      </w:r>
                      <w:r w:rsidRPr="005D733A">
                        <w:rPr>
                          <w:color w:val="FFFFFF" w:themeColor="background1"/>
                          <w:sz w:val="32"/>
                        </w:rPr>
                        <w:t xml:space="preserve">est </w:t>
                      </w:r>
                      <w:r>
                        <w:rPr>
                          <w:color w:val="FFFFFF" w:themeColor="background1"/>
                          <w:sz w:val="32"/>
                        </w:rPr>
                        <w:t>p</w:t>
                      </w:r>
                      <w:r w:rsidRPr="005D733A">
                        <w:rPr>
                          <w:color w:val="FFFFFF" w:themeColor="background1"/>
                          <w:sz w:val="32"/>
                        </w:rPr>
                        <w:t xml:space="preserve">ractice </w:t>
                      </w:r>
                    </w:p>
                    <w:p w:rsidR="009B2E70" w:rsidRPr="005D733A" w:rsidRDefault="009B2E70" w:rsidP="005177DB">
                      <w:pPr>
                        <w:jc w:val="right"/>
                        <w:rPr>
                          <w:color w:val="FFFFFF" w:themeColor="background1"/>
                          <w:sz w:val="32"/>
                        </w:rPr>
                      </w:pPr>
                      <w:r w:rsidRPr="005D733A">
                        <w:rPr>
                          <w:color w:val="FFFFFF" w:themeColor="background1"/>
                          <w:sz w:val="32"/>
                        </w:rPr>
                        <w:t xml:space="preserve">in the </w:t>
                      </w:r>
                      <w:r>
                        <w:rPr>
                          <w:color w:val="FFFFFF" w:themeColor="background1"/>
                          <w:sz w:val="32"/>
                        </w:rPr>
                        <w:t>a</w:t>
                      </w:r>
                      <w:r w:rsidRPr="005D733A">
                        <w:rPr>
                          <w:color w:val="FFFFFF" w:themeColor="background1"/>
                          <w:sz w:val="32"/>
                        </w:rPr>
                        <w:t xml:space="preserve">dministration of </w:t>
                      </w:r>
                      <w:r>
                        <w:rPr>
                          <w:color w:val="FFFFFF" w:themeColor="background1"/>
                          <w:sz w:val="32"/>
                        </w:rPr>
                        <w:t>gr</w:t>
                      </w:r>
                      <w:r w:rsidRPr="005D733A">
                        <w:rPr>
                          <w:color w:val="FFFFFF" w:themeColor="background1"/>
                          <w:sz w:val="32"/>
                        </w:rPr>
                        <w:t>ants</w:t>
                      </w:r>
                    </w:p>
                  </w:txbxContent>
                </v:textbox>
              </v:shape>
            </w:pict>
          </mc:Fallback>
        </mc:AlternateContent>
      </w:r>
    </w:p>
    <w:p w:rsidR="008B1422" w:rsidRPr="00097FC2" w:rsidRDefault="009B2E70" w:rsidP="009B2E70">
      <w:pPr>
        <w:tabs>
          <w:tab w:val="left" w:pos="3957"/>
        </w:tabs>
      </w:pPr>
      <w:r>
        <w:tab/>
      </w:r>
    </w:p>
    <w:p w:rsidR="009B2E70" w:rsidRDefault="009B2E70" w:rsidP="00AD0A22">
      <w:pPr>
        <w:rPr>
          <w:sz w:val="12"/>
          <w:szCs w:val="12"/>
        </w:rPr>
        <w:sectPr w:rsidR="009B2E70" w:rsidSect="009B2E70">
          <w:headerReference w:type="default" r:id="rId9"/>
          <w:headerReference w:type="first" r:id="rId10"/>
          <w:footerReference w:type="first" r:id="rId11"/>
          <w:pgSz w:w="11906" w:h="16838"/>
          <w:pgMar w:top="1758" w:right="1440" w:bottom="1134" w:left="1440" w:header="0" w:footer="709" w:gutter="0"/>
          <w:cols w:space="708"/>
          <w:titlePg/>
          <w:docGrid w:linePitch="360"/>
        </w:sect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037072" w:rsidRDefault="00037072" w:rsidP="00AD0A22">
      <w:pPr>
        <w:rPr>
          <w:sz w:val="12"/>
          <w:szCs w:val="12"/>
        </w:rPr>
      </w:pPr>
    </w:p>
    <w:p w:rsidR="006974C2" w:rsidRPr="009B2E70" w:rsidRDefault="00970085" w:rsidP="00AD0A22">
      <w:r>
        <w:rPr>
          <w:noProof/>
          <w:lang w:eastAsia="en-AU"/>
        </w:rPr>
        <mc:AlternateContent>
          <mc:Choice Requires="wps">
            <w:drawing>
              <wp:anchor distT="0" distB="0" distL="114300" distR="114300" simplePos="0" relativeHeight="251660288" behindDoc="0" locked="0" layoutInCell="1" allowOverlap="1" wp14:anchorId="5EFF2AD7" wp14:editId="7E1B75F5">
                <wp:simplePos x="0" y="0"/>
                <wp:positionH relativeFrom="column">
                  <wp:posOffset>-440266</wp:posOffset>
                </wp:positionH>
                <wp:positionV relativeFrom="paragraph">
                  <wp:posOffset>5721632</wp:posOffset>
                </wp:positionV>
                <wp:extent cx="2291644" cy="39511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644" cy="395112"/>
                        </a:xfrm>
                        <a:prstGeom prst="rect">
                          <a:avLst/>
                        </a:prstGeom>
                        <a:noFill/>
                        <a:ln w="9525">
                          <a:noFill/>
                          <a:miter lim="800000"/>
                          <a:headEnd/>
                          <a:tailEnd/>
                        </a:ln>
                      </wps:spPr>
                      <wps:txbx>
                        <w:txbxContent>
                          <w:p w:rsidR="009B2E70" w:rsidRPr="00F23158" w:rsidRDefault="009B2E70" w:rsidP="005D733A">
                            <w:pPr>
                              <w:rPr>
                                <w:b/>
                                <w:color w:val="FFFFFF" w:themeColor="background1"/>
                                <w:sz w:val="24"/>
                              </w:rPr>
                            </w:pPr>
                            <w:r w:rsidRPr="00F23158">
                              <w:rPr>
                                <w:b/>
                                <w:color w:val="FFFFFF" w:themeColor="background1"/>
                                <w:sz w:val="24"/>
                              </w:rPr>
                              <w:t>www.nt.gov.au</w:t>
                            </w:r>
                          </w:p>
                        </w:txbxContent>
                      </wps:txbx>
                      <wps:bodyPr rot="0" vert="horz" wrap="square" lIns="91440" tIns="45720" rIns="91440" bIns="45720" anchor="t" anchorCtr="0">
                        <a:spAutoFit/>
                      </wps:bodyPr>
                    </wps:wsp>
                  </a:graphicData>
                </a:graphic>
              </wp:anchor>
            </w:drawing>
          </mc:Choice>
          <mc:Fallback>
            <w:pict>
              <v:shape id="_x0000_s1030" type="#_x0000_t202" style="position:absolute;margin-left:-34.65pt;margin-top:450.5pt;width:180.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" filled="f" stroked="f">
                <v:textbox style="mso-fit-shape-to-text:t">
                  <w:txbxContent>
                    <w:p w:rsidR="009B2E70" w:rsidRPr="00F23158" w:rsidRDefault="009B2E70" w:rsidP="005D733A">
                      <w:pPr>
                        <w:rPr>
                          <w:b/>
                          <w:color w:val="FFFFFF" w:themeColor="background1"/>
                          <w:sz w:val="24"/>
                        </w:rPr>
                      </w:pPr>
                      <w:r w:rsidRPr="00F23158">
                        <w:rPr>
                          <w:b/>
                          <w:color w:val="FFFFFF" w:themeColor="background1"/>
                          <w:sz w:val="24"/>
                        </w:rPr>
                        <w:t>www.nt.gov.au</w:t>
                      </w:r>
                    </w:p>
                  </w:txbxContent>
                </v:textbox>
              </v:shape>
            </w:pict>
          </mc:Fallback>
        </mc:AlternateContent>
      </w:r>
      <w:r w:rsidR="006974C2" w:rsidRPr="00B16C98">
        <w:rPr>
          <w:sz w:val="12"/>
          <w:szCs w:val="12"/>
        </w:rPr>
        <w:t>Da Capo Solutions Pty Ltd</w:t>
      </w:r>
    </w:p>
    <w:p w:rsidR="006974C2" w:rsidRPr="00B16C98" w:rsidRDefault="006974C2" w:rsidP="00AD0A22">
      <w:pPr>
        <w:rPr>
          <w:sz w:val="12"/>
          <w:szCs w:val="12"/>
        </w:rPr>
      </w:pPr>
      <w:r w:rsidRPr="00B16C98">
        <w:rPr>
          <w:sz w:val="12"/>
          <w:szCs w:val="12"/>
        </w:rPr>
        <w:t xml:space="preserve">This work is copyright.  Apart from any use as permitted under the </w:t>
      </w:r>
      <w:r w:rsidRPr="00B16C98">
        <w:rPr>
          <w:i/>
          <w:sz w:val="12"/>
          <w:szCs w:val="12"/>
        </w:rPr>
        <w:t>Copyright Act</w:t>
      </w:r>
      <w:r w:rsidRPr="00B16C98">
        <w:rPr>
          <w:sz w:val="12"/>
          <w:szCs w:val="12"/>
        </w:rPr>
        <w:t xml:space="preserve"> 1968, no part may be reproduced for any purpose without the prior written permis</w:t>
      </w:r>
      <w:r w:rsidR="00514175" w:rsidRPr="00B16C98">
        <w:rPr>
          <w:sz w:val="12"/>
          <w:szCs w:val="12"/>
        </w:rPr>
        <w:t>sion from the authoring entity.</w:t>
      </w:r>
      <w:r w:rsidRPr="00B16C98">
        <w:rPr>
          <w:sz w:val="12"/>
          <w:szCs w:val="12"/>
        </w:rPr>
        <w:t xml:space="preserve"> Ownership and intellectual property residing within this document exi</w:t>
      </w:r>
      <w:r w:rsidR="00514175" w:rsidRPr="00B16C98">
        <w:rPr>
          <w:sz w:val="12"/>
          <w:szCs w:val="12"/>
        </w:rPr>
        <w:t xml:space="preserve">sts with the authoring entity. </w:t>
      </w:r>
      <w:r w:rsidRPr="00B16C98">
        <w:rPr>
          <w:sz w:val="12"/>
          <w:szCs w:val="12"/>
        </w:rPr>
        <w:t xml:space="preserve">The Northern Territory </w:t>
      </w:r>
      <w:r w:rsidRPr="00EE42A7">
        <w:rPr>
          <w:sz w:val="12"/>
          <w:szCs w:val="12"/>
        </w:rPr>
        <w:t>Department o</w:t>
      </w:r>
      <w:r w:rsidR="002B6623" w:rsidRPr="00EE42A7">
        <w:rPr>
          <w:sz w:val="12"/>
          <w:szCs w:val="12"/>
        </w:rPr>
        <w:t xml:space="preserve">f </w:t>
      </w:r>
      <w:r w:rsidR="008D3B88" w:rsidRPr="00EE42A7">
        <w:rPr>
          <w:sz w:val="12"/>
          <w:szCs w:val="12"/>
        </w:rPr>
        <w:t>Attorney-General and Justice</w:t>
      </w:r>
      <w:r w:rsidR="002B6623" w:rsidRPr="00EE42A7">
        <w:rPr>
          <w:sz w:val="12"/>
          <w:szCs w:val="12"/>
        </w:rPr>
        <w:t xml:space="preserve"> </w:t>
      </w:r>
      <w:r w:rsidRPr="00EE42A7">
        <w:rPr>
          <w:sz w:val="12"/>
          <w:szCs w:val="12"/>
        </w:rPr>
        <w:t xml:space="preserve">retains a license in perpetuity to use this document for </w:t>
      </w:r>
      <w:r w:rsidR="002B6623" w:rsidRPr="00EE42A7">
        <w:rPr>
          <w:sz w:val="12"/>
          <w:szCs w:val="12"/>
        </w:rPr>
        <w:t>its</w:t>
      </w:r>
      <w:r w:rsidRPr="00EE42A7">
        <w:rPr>
          <w:sz w:val="12"/>
          <w:szCs w:val="12"/>
        </w:rPr>
        <w:t xml:space="preserve"> exclusive benefit</w:t>
      </w:r>
      <w:r w:rsidR="002B6623" w:rsidRPr="00EE42A7">
        <w:rPr>
          <w:sz w:val="12"/>
          <w:szCs w:val="12"/>
        </w:rPr>
        <w:t>,</w:t>
      </w:r>
      <w:r w:rsidRPr="00EE42A7">
        <w:rPr>
          <w:sz w:val="12"/>
          <w:szCs w:val="12"/>
        </w:rPr>
        <w:t xml:space="preserve"> but may not distribute or permit unauthorized usage of these materials by any third party.</w:t>
      </w:r>
      <w:r w:rsidRPr="00B16C98">
        <w:rPr>
          <w:sz w:val="12"/>
          <w:szCs w:val="12"/>
        </w:rPr>
        <w:t xml:space="preserve">  </w:t>
      </w:r>
    </w:p>
    <w:p w:rsidR="006974C2" w:rsidRPr="00B16C98" w:rsidRDefault="006974C2" w:rsidP="00AD0A22">
      <w:pPr>
        <w:rPr>
          <w:sz w:val="12"/>
          <w:szCs w:val="12"/>
        </w:rPr>
      </w:pPr>
      <w:r w:rsidRPr="00B16C98">
        <w:rPr>
          <w:sz w:val="12"/>
          <w:szCs w:val="12"/>
        </w:rPr>
        <w:t>Requests and inquiries regarding reproduction and rights should be addressed to:</w:t>
      </w:r>
    </w:p>
    <w:p w:rsidR="006974C2" w:rsidRPr="00B16C98" w:rsidRDefault="006974C2" w:rsidP="006974C2">
      <w:pPr>
        <w:pStyle w:val="NoSpacing"/>
        <w:rPr>
          <w:sz w:val="12"/>
          <w:szCs w:val="12"/>
        </w:rPr>
      </w:pPr>
      <w:r w:rsidRPr="00B16C98">
        <w:rPr>
          <w:sz w:val="12"/>
          <w:szCs w:val="12"/>
        </w:rPr>
        <w:t>Da Capo Solutions Pty Ltd</w:t>
      </w:r>
    </w:p>
    <w:p w:rsidR="006974C2" w:rsidRPr="00B16C98" w:rsidRDefault="006974C2" w:rsidP="006974C2">
      <w:pPr>
        <w:pStyle w:val="NoSpacing"/>
        <w:rPr>
          <w:sz w:val="12"/>
          <w:szCs w:val="12"/>
        </w:rPr>
      </w:pPr>
      <w:r w:rsidRPr="00B16C98">
        <w:rPr>
          <w:sz w:val="12"/>
          <w:szCs w:val="12"/>
        </w:rPr>
        <w:t>PO Box 41454</w:t>
      </w:r>
    </w:p>
    <w:p w:rsidR="00004739" w:rsidRPr="00B16C98" w:rsidRDefault="00D2554A" w:rsidP="002B6623">
      <w:pPr>
        <w:pStyle w:val="NoSpacing"/>
        <w:rPr>
          <w:sz w:val="12"/>
          <w:szCs w:val="12"/>
        </w:rPr>
        <w:sectPr w:rsidR="00004739" w:rsidRPr="00B16C98" w:rsidSect="00BA42E6">
          <w:headerReference w:type="first" r:id="rId12"/>
          <w:footerReference w:type="first" r:id="rId13"/>
          <w:pgSz w:w="11906" w:h="16838"/>
          <w:pgMar w:top="1758" w:right="1440" w:bottom="1134" w:left="1440" w:header="709" w:footer="709" w:gutter="0"/>
          <w:cols w:space="708"/>
          <w:titlePg/>
          <w:docGrid w:linePitch="360"/>
        </w:sectPr>
      </w:pPr>
      <w:r w:rsidRPr="00B16C98">
        <w:rPr>
          <w:sz w:val="12"/>
          <w:szCs w:val="12"/>
        </w:rPr>
        <w:t>Casuarina</w:t>
      </w:r>
      <w:r w:rsidR="006974C2" w:rsidRPr="00B16C98">
        <w:rPr>
          <w:sz w:val="12"/>
          <w:szCs w:val="12"/>
        </w:rPr>
        <w:t xml:space="preserve"> NT 0812</w:t>
      </w:r>
    </w:p>
    <w:p w:rsidR="002B6623" w:rsidRPr="00807B8A" w:rsidRDefault="002B6623" w:rsidP="00B6581B">
      <w:pPr>
        <w:pStyle w:val="TOCHeading"/>
      </w:pPr>
      <w:bookmarkStart w:id="0" w:name="_Toc367805913"/>
      <w:bookmarkStart w:id="1" w:name="_Toc373104403"/>
      <w:r w:rsidRPr="00807B8A">
        <w:lastRenderedPageBreak/>
        <w:t>Table of Contents</w:t>
      </w:r>
      <w:bookmarkEnd w:id="0"/>
      <w:bookmarkEnd w:id="1"/>
    </w:p>
    <w:sdt>
      <w:sdtPr>
        <w:rPr>
          <w:rFonts w:ascii="Arial" w:hAnsi="Arial"/>
          <w:b w:val="0"/>
          <w:bCs w:val="0"/>
          <w:caps w:val="0"/>
          <w:noProof w:val="0"/>
        </w:rPr>
        <w:id w:val="878507435"/>
        <w:docPartObj>
          <w:docPartGallery w:val="Table of Contents"/>
          <w:docPartUnique/>
        </w:docPartObj>
      </w:sdtPr>
      <w:sdtEndPr>
        <w:rPr>
          <w:rFonts w:asciiTheme="minorHAnsi" w:hAnsiTheme="minorHAnsi"/>
          <w:b/>
          <w:bCs/>
          <w:caps/>
          <w:noProof/>
        </w:rPr>
      </w:sdtEndPr>
      <w:sdtContent>
        <w:p w:rsidR="00CA53F4" w:rsidRDefault="002B6623">
          <w:pPr>
            <w:pStyle w:val="TOC1"/>
            <w:rPr>
              <w:rFonts w:eastAsiaTheme="minorEastAsia" w:cstheme="minorBidi"/>
              <w:b w:val="0"/>
              <w:bCs w:val="0"/>
              <w:caps w:val="0"/>
              <w:lang w:eastAsia="en-AU"/>
            </w:rPr>
          </w:pPr>
          <w:r>
            <w:fldChar w:fldCharType="begin"/>
          </w:r>
          <w:r>
            <w:instrText xml:space="preserve"> TOC \o "1-3" \h \z \u </w:instrText>
          </w:r>
          <w:r>
            <w:fldChar w:fldCharType="separate"/>
          </w:r>
          <w:hyperlink w:anchor="_Toc373104403" w:history="1">
            <w:r w:rsidR="00CA53F4" w:rsidRPr="00782EA9">
              <w:rPr>
                <w:rStyle w:val="Hyperlink"/>
              </w:rPr>
              <w:t>Table of Contents</w:t>
            </w:r>
            <w:r w:rsidR="00CA53F4">
              <w:rPr>
                <w:webHidden/>
              </w:rPr>
              <w:tab/>
            </w:r>
            <w:r w:rsidR="00CA53F4">
              <w:rPr>
                <w:webHidden/>
              </w:rPr>
              <w:fldChar w:fldCharType="begin"/>
            </w:r>
            <w:r w:rsidR="00CA53F4">
              <w:rPr>
                <w:webHidden/>
              </w:rPr>
              <w:instrText xml:space="preserve"> PAGEREF _Toc373104403 \h </w:instrText>
            </w:r>
            <w:r w:rsidR="00CA53F4">
              <w:rPr>
                <w:webHidden/>
              </w:rPr>
            </w:r>
            <w:r w:rsidR="00CA53F4">
              <w:rPr>
                <w:webHidden/>
              </w:rPr>
              <w:fldChar w:fldCharType="separate"/>
            </w:r>
            <w:r w:rsidR="00BB4E58">
              <w:rPr>
                <w:webHidden/>
              </w:rPr>
              <w:t>I</w:t>
            </w:r>
            <w:r w:rsidR="00CA53F4">
              <w:rPr>
                <w:webHidden/>
              </w:rPr>
              <w:fldChar w:fldCharType="end"/>
            </w:r>
          </w:hyperlink>
        </w:p>
        <w:p w:rsidR="00CA53F4" w:rsidRDefault="009B2E70">
          <w:pPr>
            <w:pStyle w:val="TOC1"/>
            <w:rPr>
              <w:rFonts w:eastAsiaTheme="minorEastAsia" w:cstheme="minorBidi"/>
              <w:b w:val="0"/>
              <w:bCs w:val="0"/>
              <w:caps w:val="0"/>
              <w:lang w:eastAsia="en-AU"/>
            </w:rPr>
          </w:pPr>
          <w:hyperlink w:anchor="_Toc373104404" w:history="1">
            <w:r w:rsidR="00CA53F4" w:rsidRPr="00782EA9">
              <w:rPr>
                <w:rStyle w:val="Hyperlink"/>
              </w:rPr>
              <w:t>List of Acronyms</w:t>
            </w:r>
            <w:r w:rsidR="00CA53F4">
              <w:rPr>
                <w:webHidden/>
              </w:rPr>
              <w:tab/>
            </w:r>
            <w:r w:rsidR="00CA53F4">
              <w:rPr>
                <w:webHidden/>
              </w:rPr>
              <w:fldChar w:fldCharType="begin"/>
            </w:r>
            <w:r w:rsidR="00CA53F4">
              <w:rPr>
                <w:webHidden/>
              </w:rPr>
              <w:instrText xml:space="preserve"> PAGEREF _Toc373104404 \h </w:instrText>
            </w:r>
            <w:r w:rsidR="00CA53F4">
              <w:rPr>
                <w:webHidden/>
              </w:rPr>
            </w:r>
            <w:r w:rsidR="00CA53F4">
              <w:rPr>
                <w:webHidden/>
              </w:rPr>
              <w:fldChar w:fldCharType="separate"/>
            </w:r>
            <w:r w:rsidR="00BB4E58">
              <w:rPr>
                <w:webHidden/>
              </w:rPr>
              <w:t>III</w:t>
            </w:r>
            <w:r w:rsidR="00CA53F4">
              <w:rPr>
                <w:webHidden/>
              </w:rPr>
              <w:fldChar w:fldCharType="end"/>
            </w:r>
          </w:hyperlink>
        </w:p>
        <w:p w:rsidR="00CA53F4" w:rsidRDefault="009B2E70">
          <w:pPr>
            <w:pStyle w:val="TOC1"/>
            <w:rPr>
              <w:rStyle w:val="Hyperlink"/>
            </w:rPr>
          </w:pPr>
          <w:hyperlink w:anchor="_Toc373104405" w:history="1">
            <w:r w:rsidR="00CA53F4" w:rsidRPr="00782EA9">
              <w:rPr>
                <w:rStyle w:val="Hyperlink"/>
              </w:rPr>
              <w:t>INtroduction</w:t>
            </w:r>
            <w:r w:rsidR="00CA53F4">
              <w:rPr>
                <w:webHidden/>
              </w:rPr>
              <w:tab/>
            </w:r>
            <w:r w:rsidR="00CA53F4">
              <w:rPr>
                <w:webHidden/>
              </w:rPr>
              <w:fldChar w:fldCharType="begin"/>
            </w:r>
            <w:r w:rsidR="00CA53F4">
              <w:rPr>
                <w:webHidden/>
              </w:rPr>
              <w:instrText xml:space="preserve"> PAGEREF _Toc373104405 \h </w:instrText>
            </w:r>
            <w:r w:rsidR="00CA53F4">
              <w:rPr>
                <w:webHidden/>
              </w:rPr>
            </w:r>
            <w:r w:rsidR="00CA53F4">
              <w:rPr>
                <w:webHidden/>
              </w:rPr>
              <w:fldChar w:fldCharType="separate"/>
            </w:r>
            <w:r w:rsidR="00BB4E58">
              <w:rPr>
                <w:webHidden/>
              </w:rPr>
              <w:t>1</w:t>
            </w:r>
            <w:r w:rsidR="00CA53F4">
              <w:rPr>
                <w:webHidden/>
              </w:rPr>
              <w:fldChar w:fldCharType="end"/>
            </w:r>
          </w:hyperlink>
        </w:p>
        <w:p w:rsidR="00CA53F4" w:rsidRDefault="00CA53F4" w:rsidP="00CA53F4">
          <w:pPr>
            <w:pStyle w:val="NoSpacing"/>
          </w:pPr>
        </w:p>
        <w:p w:rsidR="00CA53F4" w:rsidRPr="00CA53F4" w:rsidRDefault="00CA53F4" w:rsidP="00CA53F4">
          <w:pPr>
            <w:pStyle w:val="Subtitle"/>
          </w:pPr>
          <w:r>
            <w:t>Part A</w:t>
          </w:r>
        </w:p>
        <w:p w:rsidR="00CA53F4" w:rsidRDefault="009B2E70">
          <w:pPr>
            <w:pStyle w:val="TOC1"/>
            <w:rPr>
              <w:rFonts w:eastAsiaTheme="minorEastAsia" w:cstheme="minorBidi"/>
              <w:b w:val="0"/>
              <w:bCs w:val="0"/>
              <w:caps w:val="0"/>
              <w:lang w:eastAsia="en-AU"/>
            </w:rPr>
          </w:pPr>
          <w:hyperlink w:anchor="_Toc373104406" w:history="1">
            <w:r w:rsidR="00CA53F4" w:rsidRPr="00782EA9">
              <w:rPr>
                <w:rStyle w:val="Hyperlink"/>
              </w:rPr>
              <w:t>Legal and definitional Framework</w:t>
            </w:r>
            <w:r w:rsidR="00CA53F4">
              <w:rPr>
                <w:webHidden/>
              </w:rPr>
              <w:tab/>
            </w:r>
            <w:r w:rsidR="00CA53F4">
              <w:rPr>
                <w:webHidden/>
              </w:rPr>
              <w:fldChar w:fldCharType="begin"/>
            </w:r>
            <w:r w:rsidR="00CA53F4">
              <w:rPr>
                <w:webHidden/>
              </w:rPr>
              <w:instrText xml:space="preserve"> PAGEREF _Toc373104406 \h </w:instrText>
            </w:r>
            <w:r w:rsidR="00CA53F4">
              <w:rPr>
                <w:webHidden/>
              </w:rPr>
            </w:r>
            <w:r w:rsidR="00CA53F4">
              <w:rPr>
                <w:webHidden/>
              </w:rPr>
              <w:fldChar w:fldCharType="separate"/>
            </w:r>
            <w:r w:rsidR="00BB4E58">
              <w:rPr>
                <w:webHidden/>
              </w:rPr>
              <w:t>2</w:t>
            </w:r>
            <w:r w:rsidR="00CA53F4">
              <w:rPr>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07" w:history="1">
            <w:r w:rsidR="00CA53F4" w:rsidRPr="00782EA9">
              <w:rPr>
                <w:rStyle w:val="Hyperlink"/>
                <w:noProof/>
              </w:rPr>
              <w:t>1.</w:t>
            </w:r>
            <w:r w:rsidR="00CA53F4">
              <w:rPr>
                <w:rFonts w:eastAsiaTheme="minorEastAsia" w:cstheme="minorBidi"/>
                <w:b w:val="0"/>
                <w:bCs w:val="0"/>
                <w:smallCaps w:val="0"/>
                <w:noProof/>
                <w:lang w:eastAsia="en-AU"/>
              </w:rPr>
              <w:tab/>
            </w:r>
            <w:r w:rsidR="00CA53F4" w:rsidRPr="00782EA9">
              <w:rPr>
                <w:rStyle w:val="Hyperlink"/>
                <w:noProof/>
              </w:rPr>
              <w:t>Definition and Purpose of a Grant</w:t>
            </w:r>
            <w:r w:rsidR="00CA53F4">
              <w:rPr>
                <w:noProof/>
                <w:webHidden/>
              </w:rPr>
              <w:tab/>
            </w:r>
            <w:r w:rsidR="00CA53F4">
              <w:rPr>
                <w:noProof/>
                <w:webHidden/>
              </w:rPr>
              <w:fldChar w:fldCharType="begin"/>
            </w:r>
            <w:r w:rsidR="00CA53F4">
              <w:rPr>
                <w:noProof/>
                <w:webHidden/>
              </w:rPr>
              <w:instrText xml:space="preserve"> PAGEREF _Toc373104407 \h </w:instrText>
            </w:r>
            <w:r w:rsidR="00CA53F4">
              <w:rPr>
                <w:noProof/>
                <w:webHidden/>
              </w:rPr>
            </w:r>
            <w:r w:rsidR="00CA53F4">
              <w:rPr>
                <w:noProof/>
                <w:webHidden/>
              </w:rPr>
              <w:fldChar w:fldCharType="separate"/>
            </w:r>
            <w:r w:rsidR="00BB4E58">
              <w:rPr>
                <w:noProof/>
                <w:webHidden/>
              </w:rPr>
              <w:t>2</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08" w:history="1">
            <w:r w:rsidR="00CA53F4" w:rsidRPr="00782EA9">
              <w:rPr>
                <w:rStyle w:val="Hyperlink"/>
                <w:noProof/>
              </w:rPr>
              <w:t>2.</w:t>
            </w:r>
            <w:r w:rsidR="00CA53F4">
              <w:rPr>
                <w:rFonts w:eastAsiaTheme="minorEastAsia" w:cstheme="minorBidi"/>
                <w:b w:val="0"/>
                <w:bCs w:val="0"/>
                <w:smallCaps w:val="0"/>
                <w:noProof/>
                <w:lang w:eastAsia="en-AU"/>
              </w:rPr>
              <w:tab/>
            </w:r>
            <w:r w:rsidR="00CA53F4" w:rsidRPr="00782EA9">
              <w:rPr>
                <w:rStyle w:val="Hyperlink"/>
                <w:noProof/>
              </w:rPr>
              <w:t>Legislative Framework</w:t>
            </w:r>
            <w:r w:rsidR="00CA53F4">
              <w:rPr>
                <w:noProof/>
                <w:webHidden/>
              </w:rPr>
              <w:tab/>
            </w:r>
            <w:r w:rsidR="00CA53F4">
              <w:rPr>
                <w:noProof/>
                <w:webHidden/>
              </w:rPr>
              <w:fldChar w:fldCharType="begin"/>
            </w:r>
            <w:r w:rsidR="00CA53F4">
              <w:rPr>
                <w:noProof/>
                <w:webHidden/>
              </w:rPr>
              <w:instrText xml:space="preserve"> PAGEREF _Toc373104408 \h </w:instrText>
            </w:r>
            <w:r w:rsidR="00CA53F4">
              <w:rPr>
                <w:noProof/>
                <w:webHidden/>
              </w:rPr>
            </w:r>
            <w:r w:rsidR="00CA53F4">
              <w:rPr>
                <w:noProof/>
                <w:webHidden/>
              </w:rPr>
              <w:fldChar w:fldCharType="separate"/>
            </w:r>
            <w:r w:rsidR="00BB4E58">
              <w:rPr>
                <w:noProof/>
                <w:webHidden/>
              </w:rPr>
              <w:t>3</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09" w:history="1">
            <w:r w:rsidR="00CA53F4" w:rsidRPr="00782EA9">
              <w:rPr>
                <w:rStyle w:val="Hyperlink"/>
                <w:noProof/>
              </w:rPr>
              <w:t>3.</w:t>
            </w:r>
            <w:r w:rsidR="00CA53F4">
              <w:rPr>
                <w:rFonts w:eastAsiaTheme="minorEastAsia" w:cstheme="minorBidi"/>
                <w:b w:val="0"/>
                <w:bCs w:val="0"/>
                <w:smallCaps w:val="0"/>
                <w:noProof/>
                <w:lang w:eastAsia="en-AU"/>
              </w:rPr>
              <w:tab/>
            </w:r>
            <w:r w:rsidR="00CA53F4" w:rsidRPr="00782EA9">
              <w:rPr>
                <w:rStyle w:val="Hyperlink"/>
                <w:noProof/>
              </w:rPr>
              <w:t>Commonwealth Government Policy Framework</w:t>
            </w:r>
            <w:r w:rsidR="00CA53F4">
              <w:rPr>
                <w:noProof/>
                <w:webHidden/>
              </w:rPr>
              <w:tab/>
            </w:r>
            <w:r w:rsidR="00CA53F4">
              <w:rPr>
                <w:noProof/>
                <w:webHidden/>
              </w:rPr>
              <w:fldChar w:fldCharType="begin"/>
            </w:r>
            <w:r w:rsidR="00CA53F4">
              <w:rPr>
                <w:noProof/>
                <w:webHidden/>
              </w:rPr>
              <w:instrText xml:space="preserve"> PAGEREF _Toc373104409 \h </w:instrText>
            </w:r>
            <w:r w:rsidR="00CA53F4">
              <w:rPr>
                <w:noProof/>
                <w:webHidden/>
              </w:rPr>
            </w:r>
            <w:r w:rsidR="00CA53F4">
              <w:rPr>
                <w:noProof/>
                <w:webHidden/>
              </w:rPr>
              <w:fldChar w:fldCharType="separate"/>
            </w:r>
            <w:r w:rsidR="00BB4E58">
              <w:rPr>
                <w:noProof/>
                <w:webHidden/>
              </w:rPr>
              <w:t>4</w:t>
            </w:r>
            <w:r w:rsidR="00CA53F4">
              <w:rPr>
                <w:noProof/>
                <w:webHidden/>
              </w:rPr>
              <w:fldChar w:fldCharType="end"/>
            </w:r>
          </w:hyperlink>
        </w:p>
        <w:p w:rsidR="00CA53F4" w:rsidRDefault="009B2E70">
          <w:pPr>
            <w:pStyle w:val="TOC1"/>
            <w:rPr>
              <w:rFonts w:eastAsiaTheme="minorEastAsia" w:cstheme="minorBidi"/>
              <w:b w:val="0"/>
              <w:bCs w:val="0"/>
              <w:caps w:val="0"/>
              <w:lang w:eastAsia="en-AU"/>
            </w:rPr>
          </w:pPr>
          <w:hyperlink w:anchor="_Toc373104410" w:history="1">
            <w:r w:rsidR="00CA53F4" w:rsidRPr="00782EA9">
              <w:rPr>
                <w:rStyle w:val="Hyperlink"/>
              </w:rPr>
              <w:t>Principles for Best Practice</w:t>
            </w:r>
            <w:r w:rsidR="00CA53F4">
              <w:rPr>
                <w:webHidden/>
              </w:rPr>
              <w:tab/>
            </w:r>
            <w:r w:rsidR="00CA53F4">
              <w:rPr>
                <w:webHidden/>
              </w:rPr>
              <w:fldChar w:fldCharType="begin"/>
            </w:r>
            <w:r w:rsidR="00CA53F4">
              <w:rPr>
                <w:webHidden/>
              </w:rPr>
              <w:instrText xml:space="preserve"> PAGEREF _Toc373104410 \h </w:instrText>
            </w:r>
            <w:r w:rsidR="00CA53F4">
              <w:rPr>
                <w:webHidden/>
              </w:rPr>
            </w:r>
            <w:r w:rsidR="00CA53F4">
              <w:rPr>
                <w:webHidden/>
              </w:rPr>
              <w:fldChar w:fldCharType="separate"/>
            </w:r>
            <w:r w:rsidR="00BB4E58">
              <w:rPr>
                <w:webHidden/>
              </w:rPr>
              <w:t>5</w:t>
            </w:r>
            <w:r w:rsidR="00CA53F4">
              <w:rPr>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1" w:history="1">
            <w:r w:rsidR="00CA53F4" w:rsidRPr="00782EA9">
              <w:rPr>
                <w:rStyle w:val="Hyperlink"/>
                <w:noProof/>
              </w:rPr>
              <w:t>4.</w:t>
            </w:r>
            <w:r w:rsidR="00CA53F4">
              <w:rPr>
                <w:rFonts w:eastAsiaTheme="minorEastAsia" w:cstheme="minorBidi"/>
                <w:b w:val="0"/>
                <w:bCs w:val="0"/>
                <w:smallCaps w:val="0"/>
                <w:noProof/>
                <w:lang w:eastAsia="en-AU"/>
              </w:rPr>
              <w:tab/>
            </w:r>
            <w:r w:rsidR="00CA53F4" w:rsidRPr="00782EA9">
              <w:rPr>
                <w:rStyle w:val="Hyperlink"/>
                <w:noProof/>
              </w:rPr>
              <w:t>Organisation and Consistency</w:t>
            </w:r>
            <w:r w:rsidR="00CA53F4">
              <w:rPr>
                <w:noProof/>
                <w:webHidden/>
              </w:rPr>
              <w:tab/>
            </w:r>
            <w:r w:rsidR="00CA53F4">
              <w:rPr>
                <w:noProof/>
                <w:webHidden/>
              </w:rPr>
              <w:fldChar w:fldCharType="begin"/>
            </w:r>
            <w:r w:rsidR="00CA53F4">
              <w:rPr>
                <w:noProof/>
                <w:webHidden/>
              </w:rPr>
              <w:instrText xml:space="preserve"> PAGEREF _Toc373104411 \h </w:instrText>
            </w:r>
            <w:r w:rsidR="00CA53F4">
              <w:rPr>
                <w:noProof/>
                <w:webHidden/>
              </w:rPr>
            </w:r>
            <w:r w:rsidR="00CA53F4">
              <w:rPr>
                <w:noProof/>
                <w:webHidden/>
              </w:rPr>
              <w:fldChar w:fldCharType="separate"/>
            </w:r>
            <w:r w:rsidR="00BB4E58">
              <w:rPr>
                <w:noProof/>
                <w:webHidden/>
              </w:rPr>
              <w:t>5</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2" w:history="1">
            <w:r w:rsidR="00CA53F4" w:rsidRPr="00782EA9">
              <w:rPr>
                <w:rStyle w:val="Hyperlink"/>
                <w:noProof/>
              </w:rPr>
              <w:t>5.</w:t>
            </w:r>
            <w:r w:rsidR="00CA53F4">
              <w:rPr>
                <w:rFonts w:eastAsiaTheme="minorEastAsia" w:cstheme="minorBidi"/>
                <w:b w:val="0"/>
                <w:bCs w:val="0"/>
                <w:smallCaps w:val="0"/>
                <w:noProof/>
                <w:lang w:eastAsia="en-AU"/>
              </w:rPr>
              <w:tab/>
            </w:r>
            <w:r w:rsidR="00CA53F4" w:rsidRPr="00782EA9">
              <w:rPr>
                <w:rStyle w:val="Hyperlink"/>
                <w:noProof/>
              </w:rPr>
              <w:t>Communication and Collaboration</w:t>
            </w:r>
            <w:r w:rsidR="00CA53F4">
              <w:rPr>
                <w:noProof/>
                <w:webHidden/>
              </w:rPr>
              <w:tab/>
            </w:r>
            <w:r w:rsidR="00CA53F4">
              <w:rPr>
                <w:noProof/>
                <w:webHidden/>
              </w:rPr>
              <w:fldChar w:fldCharType="begin"/>
            </w:r>
            <w:r w:rsidR="00CA53F4">
              <w:rPr>
                <w:noProof/>
                <w:webHidden/>
              </w:rPr>
              <w:instrText xml:space="preserve"> PAGEREF _Toc373104412 \h </w:instrText>
            </w:r>
            <w:r w:rsidR="00CA53F4">
              <w:rPr>
                <w:noProof/>
                <w:webHidden/>
              </w:rPr>
            </w:r>
            <w:r w:rsidR="00CA53F4">
              <w:rPr>
                <w:noProof/>
                <w:webHidden/>
              </w:rPr>
              <w:fldChar w:fldCharType="separate"/>
            </w:r>
            <w:r w:rsidR="00BB4E58">
              <w:rPr>
                <w:noProof/>
                <w:webHidden/>
              </w:rPr>
              <w:t>5</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3" w:history="1">
            <w:r w:rsidR="00CA53F4" w:rsidRPr="00782EA9">
              <w:rPr>
                <w:rStyle w:val="Hyperlink"/>
                <w:noProof/>
              </w:rPr>
              <w:t>6.</w:t>
            </w:r>
            <w:r w:rsidR="00CA53F4">
              <w:rPr>
                <w:rFonts w:eastAsiaTheme="minorEastAsia" w:cstheme="minorBidi"/>
                <w:b w:val="0"/>
                <w:bCs w:val="0"/>
                <w:smallCaps w:val="0"/>
                <w:noProof/>
                <w:lang w:eastAsia="en-AU"/>
              </w:rPr>
              <w:tab/>
            </w:r>
            <w:r w:rsidR="00CA53F4" w:rsidRPr="00782EA9">
              <w:rPr>
                <w:rStyle w:val="Hyperlink"/>
                <w:noProof/>
              </w:rPr>
              <w:t>Probity and Transparency</w:t>
            </w:r>
            <w:r w:rsidR="00CA53F4">
              <w:rPr>
                <w:noProof/>
                <w:webHidden/>
              </w:rPr>
              <w:tab/>
            </w:r>
            <w:r w:rsidR="00CA53F4">
              <w:rPr>
                <w:noProof/>
                <w:webHidden/>
              </w:rPr>
              <w:fldChar w:fldCharType="begin"/>
            </w:r>
            <w:r w:rsidR="00CA53F4">
              <w:rPr>
                <w:noProof/>
                <w:webHidden/>
              </w:rPr>
              <w:instrText xml:space="preserve"> PAGEREF _Toc373104413 \h </w:instrText>
            </w:r>
            <w:r w:rsidR="00CA53F4">
              <w:rPr>
                <w:noProof/>
                <w:webHidden/>
              </w:rPr>
            </w:r>
            <w:r w:rsidR="00CA53F4">
              <w:rPr>
                <w:noProof/>
                <w:webHidden/>
              </w:rPr>
              <w:fldChar w:fldCharType="separate"/>
            </w:r>
            <w:r w:rsidR="00BB4E58">
              <w:rPr>
                <w:noProof/>
                <w:webHidden/>
              </w:rPr>
              <w:t>6</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4" w:history="1">
            <w:r w:rsidR="00CA53F4" w:rsidRPr="00782EA9">
              <w:rPr>
                <w:rStyle w:val="Hyperlink"/>
                <w:noProof/>
              </w:rPr>
              <w:t>7.</w:t>
            </w:r>
            <w:r w:rsidR="00CA53F4">
              <w:rPr>
                <w:rFonts w:eastAsiaTheme="minorEastAsia" w:cstheme="minorBidi"/>
                <w:b w:val="0"/>
                <w:bCs w:val="0"/>
                <w:smallCaps w:val="0"/>
                <w:noProof/>
                <w:lang w:eastAsia="en-AU"/>
              </w:rPr>
              <w:tab/>
            </w:r>
            <w:r w:rsidR="00CA53F4" w:rsidRPr="00782EA9">
              <w:rPr>
                <w:rStyle w:val="Hyperlink"/>
                <w:noProof/>
              </w:rPr>
              <w:t>Defined Objectives</w:t>
            </w:r>
            <w:r w:rsidR="00CA53F4">
              <w:rPr>
                <w:noProof/>
                <w:webHidden/>
              </w:rPr>
              <w:tab/>
            </w:r>
            <w:r w:rsidR="00CA53F4">
              <w:rPr>
                <w:noProof/>
                <w:webHidden/>
              </w:rPr>
              <w:fldChar w:fldCharType="begin"/>
            </w:r>
            <w:r w:rsidR="00CA53F4">
              <w:rPr>
                <w:noProof/>
                <w:webHidden/>
              </w:rPr>
              <w:instrText xml:space="preserve"> PAGEREF _Toc373104414 \h </w:instrText>
            </w:r>
            <w:r w:rsidR="00CA53F4">
              <w:rPr>
                <w:noProof/>
                <w:webHidden/>
              </w:rPr>
            </w:r>
            <w:r w:rsidR="00CA53F4">
              <w:rPr>
                <w:noProof/>
                <w:webHidden/>
              </w:rPr>
              <w:fldChar w:fldCharType="separate"/>
            </w:r>
            <w:r w:rsidR="00BB4E58">
              <w:rPr>
                <w:noProof/>
                <w:webHidden/>
              </w:rPr>
              <w:t>6</w:t>
            </w:r>
            <w:r w:rsidR="00CA53F4">
              <w:rPr>
                <w:noProof/>
                <w:webHidden/>
              </w:rPr>
              <w:fldChar w:fldCharType="end"/>
            </w:r>
          </w:hyperlink>
        </w:p>
        <w:p w:rsidR="00CA53F4" w:rsidRDefault="009B2E70">
          <w:pPr>
            <w:pStyle w:val="TOC2"/>
            <w:rPr>
              <w:rStyle w:val="Hyperlink"/>
              <w:noProof/>
            </w:rPr>
          </w:pPr>
          <w:hyperlink w:anchor="_Toc373104415" w:history="1">
            <w:r w:rsidR="00CA53F4" w:rsidRPr="00782EA9">
              <w:rPr>
                <w:rStyle w:val="Hyperlink"/>
                <w:noProof/>
              </w:rPr>
              <w:t>8.</w:t>
            </w:r>
            <w:r w:rsidR="00CA53F4">
              <w:rPr>
                <w:rFonts w:eastAsiaTheme="minorEastAsia" w:cstheme="minorBidi"/>
                <w:b w:val="0"/>
                <w:bCs w:val="0"/>
                <w:smallCaps w:val="0"/>
                <w:noProof/>
                <w:lang w:eastAsia="en-AU"/>
              </w:rPr>
              <w:tab/>
            </w:r>
            <w:r w:rsidR="00CA53F4" w:rsidRPr="00782EA9">
              <w:rPr>
                <w:rStyle w:val="Hyperlink"/>
                <w:noProof/>
              </w:rPr>
              <w:t>Robust Record-Keeping and Accounting</w:t>
            </w:r>
            <w:r w:rsidR="00CA53F4">
              <w:rPr>
                <w:noProof/>
                <w:webHidden/>
              </w:rPr>
              <w:tab/>
            </w:r>
            <w:r w:rsidR="00CA53F4">
              <w:rPr>
                <w:noProof/>
                <w:webHidden/>
              </w:rPr>
              <w:fldChar w:fldCharType="begin"/>
            </w:r>
            <w:r w:rsidR="00CA53F4">
              <w:rPr>
                <w:noProof/>
                <w:webHidden/>
              </w:rPr>
              <w:instrText xml:space="preserve"> PAGEREF _Toc373104415 \h </w:instrText>
            </w:r>
            <w:r w:rsidR="00CA53F4">
              <w:rPr>
                <w:noProof/>
                <w:webHidden/>
              </w:rPr>
            </w:r>
            <w:r w:rsidR="00CA53F4">
              <w:rPr>
                <w:noProof/>
                <w:webHidden/>
              </w:rPr>
              <w:fldChar w:fldCharType="separate"/>
            </w:r>
            <w:r w:rsidR="00BB4E58">
              <w:rPr>
                <w:noProof/>
                <w:webHidden/>
              </w:rPr>
              <w:t>7</w:t>
            </w:r>
            <w:r w:rsidR="00CA53F4">
              <w:rPr>
                <w:noProof/>
                <w:webHidden/>
              </w:rPr>
              <w:fldChar w:fldCharType="end"/>
            </w:r>
          </w:hyperlink>
        </w:p>
        <w:p w:rsidR="00CA53F4" w:rsidRDefault="00CA53F4" w:rsidP="00CA53F4">
          <w:pPr>
            <w:pStyle w:val="NoSpacing"/>
          </w:pPr>
        </w:p>
        <w:p w:rsidR="00CA53F4" w:rsidRPr="00CA53F4" w:rsidRDefault="00CA53F4" w:rsidP="00CA53F4">
          <w:pPr>
            <w:pStyle w:val="Subtitle"/>
          </w:pPr>
          <w:r>
            <w:t>Part B</w:t>
          </w:r>
        </w:p>
        <w:p w:rsidR="00CA53F4" w:rsidRDefault="009B2E70">
          <w:pPr>
            <w:pStyle w:val="TOC1"/>
            <w:rPr>
              <w:rFonts w:eastAsiaTheme="minorEastAsia" w:cstheme="minorBidi"/>
              <w:b w:val="0"/>
              <w:bCs w:val="0"/>
              <w:caps w:val="0"/>
              <w:lang w:eastAsia="en-AU"/>
            </w:rPr>
          </w:pPr>
          <w:hyperlink w:anchor="_Toc373104416" w:history="1">
            <w:r w:rsidR="00CA53F4" w:rsidRPr="00782EA9">
              <w:rPr>
                <w:rStyle w:val="Hyperlink"/>
              </w:rPr>
              <w:t>Establishing a Grant Project</w:t>
            </w:r>
            <w:r w:rsidR="00CA53F4">
              <w:rPr>
                <w:webHidden/>
              </w:rPr>
              <w:tab/>
            </w:r>
            <w:r w:rsidR="00CA53F4">
              <w:rPr>
                <w:webHidden/>
              </w:rPr>
              <w:fldChar w:fldCharType="begin"/>
            </w:r>
            <w:r w:rsidR="00CA53F4">
              <w:rPr>
                <w:webHidden/>
              </w:rPr>
              <w:instrText xml:space="preserve"> PAGEREF _Toc373104416 \h </w:instrText>
            </w:r>
            <w:r w:rsidR="00CA53F4">
              <w:rPr>
                <w:webHidden/>
              </w:rPr>
            </w:r>
            <w:r w:rsidR="00CA53F4">
              <w:rPr>
                <w:webHidden/>
              </w:rPr>
              <w:fldChar w:fldCharType="separate"/>
            </w:r>
            <w:r w:rsidR="00BB4E58">
              <w:rPr>
                <w:webHidden/>
              </w:rPr>
              <w:t>8</w:t>
            </w:r>
            <w:r w:rsidR="00CA53F4">
              <w:rPr>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7" w:history="1">
            <w:r w:rsidR="00CA53F4" w:rsidRPr="00782EA9">
              <w:rPr>
                <w:rStyle w:val="Hyperlink"/>
                <w:noProof/>
              </w:rPr>
              <w:t>9.</w:t>
            </w:r>
            <w:r w:rsidR="00CA53F4">
              <w:rPr>
                <w:rFonts w:eastAsiaTheme="minorEastAsia" w:cstheme="minorBidi"/>
                <w:b w:val="0"/>
                <w:bCs w:val="0"/>
                <w:smallCaps w:val="0"/>
                <w:noProof/>
                <w:lang w:eastAsia="en-AU"/>
              </w:rPr>
              <w:tab/>
            </w:r>
            <w:r w:rsidR="00CA53F4" w:rsidRPr="00782EA9">
              <w:rPr>
                <w:rStyle w:val="Hyperlink"/>
                <w:noProof/>
              </w:rPr>
              <w:t>Business Case</w:t>
            </w:r>
            <w:r w:rsidR="00CA53F4">
              <w:rPr>
                <w:noProof/>
                <w:webHidden/>
              </w:rPr>
              <w:tab/>
            </w:r>
            <w:r w:rsidR="00CA53F4">
              <w:rPr>
                <w:noProof/>
                <w:webHidden/>
              </w:rPr>
              <w:fldChar w:fldCharType="begin"/>
            </w:r>
            <w:r w:rsidR="00CA53F4">
              <w:rPr>
                <w:noProof/>
                <w:webHidden/>
              </w:rPr>
              <w:instrText xml:space="preserve"> PAGEREF _Toc373104417 \h </w:instrText>
            </w:r>
            <w:r w:rsidR="00CA53F4">
              <w:rPr>
                <w:noProof/>
                <w:webHidden/>
              </w:rPr>
            </w:r>
            <w:r w:rsidR="00CA53F4">
              <w:rPr>
                <w:noProof/>
                <w:webHidden/>
              </w:rPr>
              <w:fldChar w:fldCharType="separate"/>
            </w:r>
            <w:r w:rsidR="00BB4E58">
              <w:rPr>
                <w:noProof/>
                <w:webHidden/>
              </w:rPr>
              <w:t>8</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8" w:history="1">
            <w:r w:rsidR="00CA53F4" w:rsidRPr="00782EA9">
              <w:rPr>
                <w:rStyle w:val="Hyperlink"/>
                <w:noProof/>
              </w:rPr>
              <w:t>10.</w:t>
            </w:r>
            <w:r w:rsidR="00CA53F4">
              <w:rPr>
                <w:rFonts w:eastAsiaTheme="minorEastAsia" w:cstheme="minorBidi"/>
                <w:b w:val="0"/>
                <w:bCs w:val="0"/>
                <w:smallCaps w:val="0"/>
                <w:noProof/>
                <w:lang w:eastAsia="en-AU"/>
              </w:rPr>
              <w:tab/>
            </w:r>
            <w:r w:rsidR="00CA53F4" w:rsidRPr="00782EA9">
              <w:rPr>
                <w:rStyle w:val="Hyperlink"/>
                <w:noProof/>
              </w:rPr>
              <w:t>Eligibility</w:t>
            </w:r>
            <w:r w:rsidR="00CA53F4">
              <w:rPr>
                <w:noProof/>
                <w:webHidden/>
              </w:rPr>
              <w:tab/>
            </w:r>
            <w:r w:rsidR="00CA53F4">
              <w:rPr>
                <w:noProof/>
                <w:webHidden/>
              </w:rPr>
              <w:fldChar w:fldCharType="begin"/>
            </w:r>
            <w:r w:rsidR="00CA53F4">
              <w:rPr>
                <w:noProof/>
                <w:webHidden/>
              </w:rPr>
              <w:instrText xml:space="preserve"> PAGEREF _Toc373104418 \h </w:instrText>
            </w:r>
            <w:r w:rsidR="00CA53F4">
              <w:rPr>
                <w:noProof/>
                <w:webHidden/>
              </w:rPr>
            </w:r>
            <w:r w:rsidR="00CA53F4">
              <w:rPr>
                <w:noProof/>
                <w:webHidden/>
              </w:rPr>
              <w:fldChar w:fldCharType="separate"/>
            </w:r>
            <w:r w:rsidR="00BB4E58">
              <w:rPr>
                <w:noProof/>
                <w:webHidden/>
              </w:rPr>
              <w:t>9</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19" w:history="1">
            <w:r w:rsidR="00CA53F4" w:rsidRPr="00782EA9">
              <w:rPr>
                <w:rStyle w:val="Hyperlink"/>
                <w:noProof/>
              </w:rPr>
              <w:t>11.</w:t>
            </w:r>
            <w:r w:rsidR="00CA53F4">
              <w:rPr>
                <w:rFonts w:eastAsiaTheme="minorEastAsia" w:cstheme="minorBidi"/>
                <w:b w:val="0"/>
                <w:bCs w:val="0"/>
                <w:smallCaps w:val="0"/>
                <w:noProof/>
                <w:lang w:eastAsia="en-AU"/>
              </w:rPr>
              <w:tab/>
            </w:r>
            <w:r w:rsidR="00CA53F4" w:rsidRPr="00782EA9">
              <w:rPr>
                <w:rStyle w:val="Hyperlink"/>
                <w:noProof/>
              </w:rPr>
              <w:t>Statement of Requirements</w:t>
            </w:r>
            <w:r w:rsidR="00CA53F4">
              <w:rPr>
                <w:noProof/>
                <w:webHidden/>
              </w:rPr>
              <w:tab/>
            </w:r>
            <w:r w:rsidR="00CA53F4">
              <w:rPr>
                <w:noProof/>
                <w:webHidden/>
              </w:rPr>
              <w:fldChar w:fldCharType="begin"/>
            </w:r>
            <w:r w:rsidR="00CA53F4">
              <w:rPr>
                <w:noProof/>
                <w:webHidden/>
              </w:rPr>
              <w:instrText xml:space="preserve"> PAGEREF _Toc373104419 \h </w:instrText>
            </w:r>
            <w:r w:rsidR="00CA53F4">
              <w:rPr>
                <w:noProof/>
                <w:webHidden/>
              </w:rPr>
            </w:r>
            <w:r w:rsidR="00CA53F4">
              <w:rPr>
                <w:noProof/>
                <w:webHidden/>
              </w:rPr>
              <w:fldChar w:fldCharType="separate"/>
            </w:r>
            <w:r w:rsidR="00BB4E58">
              <w:rPr>
                <w:noProof/>
                <w:webHidden/>
              </w:rPr>
              <w:t>9</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20" w:history="1">
            <w:r w:rsidR="00CA53F4" w:rsidRPr="00782EA9">
              <w:rPr>
                <w:rStyle w:val="Hyperlink"/>
                <w:noProof/>
              </w:rPr>
              <w:t>12.</w:t>
            </w:r>
            <w:r w:rsidR="00CA53F4">
              <w:rPr>
                <w:rFonts w:eastAsiaTheme="minorEastAsia" w:cstheme="minorBidi"/>
                <w:b w:val="0"/>
                <w:bCs w:val="0"/>
                <w:smallCaps w:val="0"/>
                <w:noProof/>
                <w:lang w:eastAsia="en-AU"/>
              </w:rPr>
              <w:tab/>
            </w:r>
            <w:r w:rsidR="00CA53F4" w:rsidRPr="00782EA9">
              <w:rPr>
                <w:rStyle w:val="Hyperlink"/>
                <w:noProof/>
              </w:rPr>
              <w:t>Approval and Publication</w:t>
            </w:r>
            <w:r w:rsidR="00CA53F4">
              <w:rPr>
                <w:noProof/>
                <w:webHidden/>
              </w:rPr>
              <w:tab/>
            </w:r>
            <w:r w:rsidR="00CA53F4">
              <w:rPr>
                <w:noProof/>
                <w:webHidden/>
              </w:rPr>
              <w:fldChar w:fldCharType="begin"/>
            </w:r>
            <w:r w:rsidR="00CA53F4">
              <w:rPr>
                <w:noProof/>
                <w:webHidden/>
              </w:rPr>
              <w:instrText xml:space="preserve"> PAGEREF _Toc373104420 \h </w:instrText>
            </w:r>
            <w:r w:rsidR="00CA53F4">
              <w:rPr>
                <w:noProof/>
                <w:webHidden/>
              </w:rPr>
            </w:r>
            <w:r w:rsidR="00CA53F4">
              <w:rPr>
                <w:noProof/>
                <w:webHidden/>
              </w:rPr>
              <w:fldChar w:fldCharType="separate"/>
            </w:r>
            <w:r w:rsidR="00BB4E58">
              <w:rPr>
                <w:noProof/>
                <w:webHidden/>
              </w:rPr>
              <w:t>10</w:t>
            </w:r>
            <w:r w:rsidR="00CA53F4">
              <w:rPr>
                <w:noProof/>
                <w:webHidden/>
              </w:rPr>
              <w:fldChar w:fldCharType="end"/>
            </w:r>
          </w:hyperlink>
        </w:p>
        <w:p w:rsidR="00CA53F4" w:rsidRDefault="009B2E70">
          <w:pPr>
            <w:pStyle w:val="TOC1"/>
            <w:rPr>
              <w:rFonts w:eastAsiaTheme="minorEastAsia" w:cstheme="minorBidi"/>
              <w:b w:val="0"/>
              <w:bCs w:val="0"/>
              <w:caps w:val="0"/>
              <w:lang w:eastAsia="en-AU"/>
            </w:rPr>
          </w:pPr>
          <w:hyperlink w:anchor="_Toc373104421" w:history="1">
            <w:r w:rsidR="00CA53F4" w:rsidRPr="00782EA9">
              <w:rPr>
                <w:rStyle w:val="Hyperlink"/>
              </w:rPr>
              <w:t>Applications for Funding</w:t>
            </w:r>
            <w:r w:rsidR="00CA53F4">
              <w:rPr>
                <w:webHidden/>
              </w:rPr>
              <w:tab/>
            </w:r>
            <w:r w:rsidR="00CA53F4">
              <w:rPr>
                <w:webHidden/>
              </w:rPr>
              <w:fldChar w:fldCharType="begin"/>
            </w:r>
            <w:r w:rsidR="00CA53F4">
              <w:rPr>
                <w:webHidden/>
              </w:rPr>
              <w:instrText xml:space="preserve"> PAGEREF _Toc373104421 \h </w:instrText>
            </w:r>
            <w:r w:rsidR="00CA53F4">
              <w:rPr>
                <w:webHidden/>
              </w:rPr>
            </w:r>
            <w:r w:rsidR="00CA53F4">
              <w:rPr>
                <w:webHidden/>
              </w:rPr>
              <w:fldChar w:fldCharType="separate"/>
            </w:r>
            <w:r w:rsidR="00BB4E58">
              <w:rPr>
                <w:webHidden/>
              </w:rPr>
              <w:t>11</w:t>
            </w:r>
            <w:r w:rsidR="00CA53F4">
              <w:rPr>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22" w:history="1">
            <w:r w:rsidR="00CA53F4" w:rsidRPr="00782EA9">
              <w:rPr>
                <w:rStyle w:val="Hyperlink"/>
                <w:noProof/>
              </w:rPr>
              <w:t>13.</w:t>
            </w:r>
            <w:r w:rsidR="00CA53F4">
              <w:rPr>
                <w:rFonts w:eastAsiaTheme="minorEastAsia" w:cstheme="minorBidi"/>
                <w:b w:val="0"/>
                <w:bCs w:val="0"/>
                <w:smallCaps w:val="0"/>
                <w:noProof/>
                <w:lang w:eastAsia="en-AU"/>
              </w:rPr>
              <w:tab/>
            </w:r>
            <w:r w:rsidR="00CA53F4" w:rsidRPr="00782EA9">
              <w:rPr>
                <w:rStyle w:val="Hyperlink"/>
                <w:noProof/>
              </w:rPr>
              <w:t>Application Methodology</w:t>
            </w:r>
            <w:r w:rsidR="00CA53F4">
              <w:rPr>
                <w:noProof/>
                <w:webHidden/>
              </w:rPr>
              <w:tab/>
            </w:r>
            <w:r w:rsidR="00CA53F4">
              <w:rPr>
                <w:noProof/>
                <w:webHidden/>
              </w:rPr>
              <w:fldChar w:fldCharType="begin"/>
            </w:r>
            <w:r w:rsidR="00CA53F4">
              <w:rPr>
                <w:noProof/>
                <w:webHidden/>
              </w:rPr>
              <w:instrText xml:space="preserve"> PAGEREF _Toc373104422 \h </w:instrText>
            </w:r>
            <w:r w:rsidR="00CA53F4">
              <w:rPr>
                <w:noProof/>
                <w:webHidden/>
              </w:rPr>
            </w:r>
            <w:r w:rsidR="00CA53F4">
              <w:rPr>
                <w:noProof/>
                <w:webHidden/>
              </w:rPr>
              <w:fldChar w:fldCharType="separate"/>
            </w:r>
            <w:r w:rsidR="00BB4E58">
              <w:rPr>
                <w:noProof/>
                <w:webHidden/>
              </w:rPr>
              <w:t>11</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23" w:history="1">
            <w:r w:rsidR="00CA53F4" w:rsidRPr="00782EA9">
              <w:rPr>
                <w:rStyle w:val="Hyperlink"/>
                <w:noProof/>
              </w:rPr>
              <w:t>14.</w:t>
            </w:r>
            <w:r w:rsidR="00CA53F4">
              <w:rPr>
                <w:rFonts w:eastAsiaTheme="minorEastAsia" w:cstheme="minorBidi"/>
                <w:b w:val="0"/>
                <w:bCs w:val="0"/>
                <w:smallCaps w:val="0"/>
                <w:noProof/>
                <w:lang w:eastAsia="en-AU"/>
              </w:rPr>
              <w:tab/>
            </w:r>
            <w:r w:rsidR="00CA53F4" w:rsidRPr="00782EA9">
              <w:rPr>
                <w:rStyle w:val="Hyperlink"/>
                <w:noProof/>
              </w:rPr>
              <w:t>Application Contents</w:t>
            </w:r>
            <w:r w:rsidR="00CA53F4">
              <w:rPr>
                <w:noProof/>
                <w:webHidden/>
              </w:rPr>
              <w:tab/>
            </w:r>
            <w:r w:rsidR="00CA53F4">
              <w:rPr>
                <w:noProof/>
                <w:webHidden/>
              </w:rPr>
              <w:fldChar w:fldCharType="begin"/>
            </w:r>
            <w:r w:rsidR="00CA53F4">
              <w:rPr>
                <w:noProof/>
                <w:webHidden/>
              </w:rPr>
              <w:instrText xml:space="preserve"> PAGEREF _Toc373104423 \h </w:instrText>
            </w:r>
            <w:r w:rsidR="00CA53F4">
              <w:rPr>
                <w:noProof/>
                <w:webHidden/>
              </w:rPr>
            </w:r>
            <w:r w:rsidR="00CA53F4">
              <w:rPr>
                <w:noProof/>
                <w:webHidden/>
              </w:rPr>
              <w:fldChar w:fldCharType="separate"/>
            </w:r>
            <w:r w:rsidR="00BB4E58">
              <w:rPr>
                <w:noProof/>
                <w:webHidden/>
              </w:rPr>
              <w:t>11</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24" w:history="1">
            <w:r w:rsidR="00CA53F4" w:rsidRPr="00782EA9">
              <w:rPr>
                <w:rStyle w:val="Hyperlink"/>
                <w:noProof/>
              </w:rPr>
              <w:t>14.1</w:t>
            </w:r>
            <w:r w:rsidR="00CA53F4">
              <w:rPr>
                <w:rFonts w:eastAsiaTheme="minorEastAsia" w:cstheme="minorBidi"/>
                <w:smallCaps w:val="0"/>
                <w:noProof/>
                <w:lang w:eastAsia="en-AU"/>
              </w:rPr>
              <w:tab/>
            </w:r>
            <w:r w:rsidR="00CA53F4" w:rsidRPr="00782EA9">
              <w:rPr>
                <w:rStyle w:val="Hyperlink"/>
                <w:noProof/>
              </w:rPr>
              <w:t>ESP Details</w:t>
            </w:r>
            <w:r w:rsidR="00CA53F4">
              <w:rPr>
                <w:noProof/>
                <w:webHidden/>
              </w:rPr>
              <w:tab/>
            </w:r>
            <w:r w:rsidR="00CA53F4">
              <w:rPr>
                <w:noProof/>
                <w:webHidden/>
              </w:rPr>
              <w:fldChar w:fldCharType="begin"/>
            </w:r>
            <w:r w:rsidR="00CA53F4">
              <w:rPr>
                <w:noProof/>
                <w:webHidden/>
              </w:rPr>
              <w:instrText xml:space="preserve"> PAGEREF _Toc373104424 \h </w:instrText>
            </w:r>
            <w:r w:rsidR="00CA53F4">
              <w:rPr>
                <w:noProof/>
                <w:webHidden/>
              </w:rPr>
            </w:r>
            <w:r w:rsidR="00CA53F4">
              <w:rPr>
                <w:noProof/>
                <w:webHidden/>
              </w:rPr>
              <w:fldChar w:fldCharType="separate"/>
            </w:r>
            <w:r w:rsidR="00BB4E58">
              <w:rPr>
                <w:noProof/>
                <w:webHidden/>
              </w:rPr>
              <w:t>12</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25" w:history="1">
            <w:r w:rsidR="00CA53F4" w:rsidRPr="00782EA9">
              <w:rPr>
                <w:rStyle w:val="Hyperlink"/>
                <w:noProof/>
              </w:rPr>
              <w:t>14.2</w:t>
            </w:r>
            <w:r w:rsidR="00CA53F4">
              <w:rPr>
                <w:rFonts w:eastAsiaTheme="minorEastAsia" w:cstheme="minorBidi"/>
                <w:smallCaps w:val="0"/>
                <w:noProof/>
                <w:lang w:eastAsia="en-AU"/>
              </w:rPr>
              <w:tab/>
            </w:r>
            <w:r w:rsidR="00CA53F4" w:rsidRPr="00782EA9">
              <w:rPr>
                <w:rStyle w:val="Hyperlink"/>
                <w:noProof/>
              </w:rPr>
              <w:t>Affiliated Entities</w:t>
            </w:r>
            <w:r w:rsidR="00CA53F4">
              <w:rPr>
                <w:noProof/>
                <w:webHidden/>
              </w:rPr>
              <w:tab/>
            </w:r>
            <w:r w:rsidR="00CA53F4">
              <w:rPr>
                <w:noProof/>
                <w:webHidden/>
              </w:rPr>
              <w:fldChar w:fldCharType="begin"/>
            </w:r>
            <w:r w:rsidR="00CA53F4">
              <w:rPr>
                <w:noProof/>
                <w:webHidden/>
              </w:rPr>
              <w:instrText xml:space="preserve"> PAGEREF _Toc373104425 \h </w:instrText>
            </w:r>
            <w:r w:rsidR="00CA53F4">
              <w:rPr>
                <w:noProof/>
                <w:webHidden/>
              </w:rPr>
            </w:r>
            <w:r w:rsidR="00CA53F4">
              <w:rPr>
                <w:noProof/>
                <w:webHidden/>
              </w:rPr>
              <w:fldChar w:fldCharType="separate"/>
            </w:r>
            <w:r w:rsidR="00BB4E58">
              <w:rPr>
                <w:noProof/>
                <w:webHidden/>
              </w:rPr>
              <w:t>12</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26" w:history="1">
            <w:r w:rsidR="00CA53F4" w:rsidRPr="00782EA9">
              <w:rPr>
                <w:rStyle w:val="Hyperlink"/>
                <w:noProof/>
              </w:rPr>
              <w:t>14.3</w:t>
            </w:r>
            <w:r w:rsidR="00CA53F4">
              <w:rPr>
                <w:rFonts w:eastAsiaTheme="minorEastAsia" w:cstheme="minorBidi"/>
                <w:smallCaps w:val="0"/>
                <w:noProof/>
                <w:lang w:eastAsia="en-AU"/>
              </w:rPr>
              <w:tab/>
            </w:r>
            <w:r w:rsidR="00CA53F4" w:rsidRPr="00782EA9">
              <w:rPr>
                <w:rStyle w:val="Hyperlink"/>
                <w:noProof/>
              </w:rPr>
              <w:t>Financial Information</w:t>
            </w:r>
            <w:r w:rsidR="00CA53F4">
              <w:rPr>
                <w:noProof/>
                <w:webHidden/>
              </w:rPr>
              <w:tab/>
            </w:r>
            <w:r w:rsidR="00CA53F4">
              <w:rPr>
                <w:noProof/>
                <w:webHidden/>
              </w:rPr>
              <w:fldChar w:fldCharType="begin"/>
            </w:r>
            <w:r w:rsidR="00CA53F4">
              <w:rPr>
                <w:noProof/>
                <w:webHidden/>
              </w:rPr>
              <w:instrText xml:space="preserve"> PAGEREF _Toc373104426 \h </w:instrText>
            </w:r>
            <w:r w:rsidR="00CA53F4">
              <w:rPr>
                <w:noProof/>
                <w:webHidden/>
              </w:rPr>
            </w:r>
            <w:r w:rsidR="00CA53F4">
              <w:rPr>
                <w:noProof/>
                <w:webHidden/>
              </w:rPr>
              <w:fldChar w:fldCharType="separate"/>
            </w:r>
            <w:r w:rsidR="00BB4E58">
              <w:rPr>
                <w:noProof/>
                <w:webHidden/>
              </w:rPr>
              <w:t>12</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27" w:history="1">
            <w:r w:rsidR="00CA53F4" w:rsidRPr="00782EA9">
              <w:rPr>
                <w:rStyle w:val="Hyperlink"/>
                <w:noProof/>
              </w:rPr>
              <w:t>14.4</w:t>
            </w:r>
            <w:r w:rsidR="00CA53F4">
              <w:rPr>
                <w:rFonts w:eastAsiaTheme="minorEastAsia" w:cstheme="minorBidi"/>
                <w:smallCaps w:val="0"/>
                <w:noProof/>
                <w:lang w:eastAsia="en-AU"/>
              </w:rPr>
              <w:tab/>
            </w:r>
            <w:r w:rsidR="00CA53F4" w:rsidRPr="00782EA9">
              <w:rPr>
                <w:rStyle w:val="Hyperlink"/>
                <w:noProof/>
              </w:rPr>
              <w:t>Service Locations</w:t>
            </w:r>
            <w:r w:rsidR="00CA53F4">
              <w:rPr>
                <w:noProof/>
                <w:webHidden/>
              </w:rPr>
              <w:tab/>
            </w:r>
            <w:r w:rsidR="00CA53F4">
              <w:rPr>
                <w:noProof/>
                <w:webHidden/>
              </w:rPr>
              <w:fldChar w:fldCharType="begin"/>
            </w:r>
            <w:r w:rsidR="00CA53F4">
              <w:rPr>
                <w:noProof/>
                <w:webHidden/>
              </w:rPr>
              <w:instrText xml:space="preserve"> PAGEREF _Toc373104427 \h </w:instrText>
            </w:r>
            <w:r w:rsidR="00CA53F4">
              <w:rPr>
                <w:noProof/>
                <w:webHidden/>
              </w:rPr>
            </w:r>
            <w:r w:rsidR="00CA53F4">
              <w:rPr>
                <w:noProof/>
                <w:webHidden/>
              </w:rPr>
              <w:fldChar w:fldCharType="separate"/>
            </w:r>
            <w:r w:rsidR="00BB4E58">
              <w:rPr>
                <w:noProof/>
                <w:webHidden/>
              </w:rPr>
              <w:t>13</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28" w:history="1">
            <w:r w:rsidR="00CA53F4" w:rsidRPr="00782EA9">
              <w:rPr>
                <w:rStyle w:val="Hyperlink"/>
                <w:noProof/>
              </w:rPr>
              <w:t>14.5</w:t>
            </w:r>
            <w:r w:rsidR="00CA53F4">
              <w:rPr>
                <w:rFonts w:eastAsiaTheme="minorEastAsia" w:cstheme="minorBidi"/>
                <w:smallCaps w:val="0"/>
                <w:noProof/>
                <w:lang w:eastAsia="en-AU"/>
              </w:rPr>
              <w:tab/>
            </w:r>
            <w:r w:rsidR="00CA53F4" w:rsidRPr="00782EA9">
              <w:rPr>
                <w:rStyle w:val="Hyperlink"/>
                <w:noProof/>
              </w:rPr>
              <w:t>Capacity, Needs and Risks</w:t>
            </w:r>
            <w:r w:rsidR="00CA53F4">
              <w:rPr>
                <w:noProof/>
                <w:webHidden/>
              </w:rPr>
              <w:tab/>
            </w:r>
            <w:r w:rsidR="00CA53F4">
              <w:rPr>
                <w:noProof/>
                <w:webHidden/>
              </w:rPr>
              <w:fldChar w:fldCharType="begin"/>
            </w:r>
            <w:r w:rsidR="00CA53F4">
              <w:rPr>
                <w:noProof/>
                <w:webHidden/>
              </w:rPr>
              <w:instrText xml:space="preserve"> PAGEREF _Toc373104428 \h </w:instrText>
            </w:r>
            <w:r w:rsidR="00CA53F4">
              <w:rPr>
                <w:noProof/>
                <w:webHidden/>
              </w:rPr>
            </w:r>
            <w:r w:rsidR="00CA53F4">
              <w:rPr>
                <w:noProof/>
                <w:webHidden/>
              </w:rPr>
              <w:fldChar w:fldCharType="separate"/>
            </w:r>
            <w:r w:rsidR="00BB4E58">
              <w:rPr>
                <w:noProof/>
                <w:webHidden/>
              </w:rPr>
              <w:t>13</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29" w:history="1">
            <w:r w:rsidR="00CA53F4" w:rsidRPr="00782EA9">
              <w:rPr>
                <w:rStyle w:val="Hyperlink"/>
                <w:noProof/>
              </w:rPr>
              <w:t>14.6</w:t>
            </w:r>
            <w:r w:rsidR="00CA53F4">
              <w:rPr>
                <w:rFonts w:eastAsiaTheme="minorEastAsia" w:cstheme="minorBidi"/>
                <w:smallCaps w:val="0"/>
                <w:noProof/>
                <w:lang w:eastAsia="en-AU"/>
              </w:rPr>
              <w:tab/>
            </w:r>
            <w:r w:rsidR="00CA53F4" w:rsidRPr="00782EA9">
              <w:rPr>
                <w:rStyle w:val="Hyperlink"/>
                <w:noProof/>
              </w:rPr>
              <w:t>Other Documents</w:t>
            </w:r>
            <w:r w:rsidR="00CA53F4">
              <w:rPr>
                <w:noProof/>
                <w:webHidden/>
              </w:rPr>
              <w:tab/>
            </w:r>
            <w:r w:rsidR="00CA53F4">
              <w:rPr>
                <w:noProof/>
                <w:webHidden/>
              </w:rPr>
              <w:fldChar w:fldCharType="begin"/>
            </w:r>
            <w:r w:rsidR="00CA53F4">
              <w:rPr>
                <w:noProof/>
                <w:webHidden/>
              </w:rPr>
              <w:instrText xml:space="preserve"> PAGEREF _Toc373104429 \h </w:instrText>
            </w:r>
            <w:r w:rsidR="00CA53F4">
              <w:rPr>
                <w:noProof/>
                <w:webHidden/>
              </w:rPr>
            </w:r>
            <w:r w:rsidR="00CA53F4">
              <w:rPr>
                <w:noProof/>
                <w:webHidden/>
              </w:rPr>
              <w:fldChar w:fldCharType="separate"/>
            </w:r>
            <w:r w:rsidR="00BB4E58">
              <w:rPr>
                <w:noProof/>
                <w:webHidden/>
              </w:rPr>
              <w:t>13</w:t>
            </w:r>
            <w:r w:rsidR="00CA53F4">
              <w:rPr>
                <w:noProof/>
                <w:webHidden/>
              </w:rPr>
              <w:fldChar w:fldCharType="end"/>
            </w:r>
          </w:hyperlink>
        </w:p>
        <w:p w:rsidR="00CA53F4" w:rsidRDefault="00CA53F4" w:rsidP="00CA53F4">
          <w:pPr>
            <w:pStyle w:val="NoSpacing"/>
            <w:rPr>
              <w:rStyle w:val="Hyperlink"/>
              <w:noProof/>
            </w:rPr>
          </w:pPr>
        </w:p>
        <w:p w:rsidR="00CA53F4" w:rsidRDefault="00CA53F4" w:rsidP="00CA53F4">
          <w:pPr>
            <w:pStyle w:val="NoSpacing"/>
            <w:rPr>
              <w:rStyle w:val="Hyperlink"/>
              <w:noProof/>
            </w:rPr>
          </w:pPr>
        </w:p>
        <w:p w:rsidR="00CA53F4" w:rsidRDefault="00CA53F4" w:rsidP="00CA53F4">
          <w:pPr>
            <w:pStyle w:val="NoSpacing"/>
            <w:rPr>
              <w:rStyle w:val="Hyperlink"/>
              <w:noProof/>
            </w:rPr>
          </w:pPr>
        </w:p>
        <w:p w:rsidR="00CA53F4" w:rsidRDefault="009B2E70">
          <w:pPr>
            <w:pStyle w:val="TOC2"/>
            <w:rPr>
              <w:rFonts w:eastAsiaTheme="minorEastAsia" w:cstheme="minorBidi"/>
              <w:b w:val="0"/>
              <w:bCs w:val="0"/>
              <w:smallCaps w:val="0"/>
              <w:noProof/>
              <w:lang w:eastAsia="en-AU"/>
            </w:rPr>
          </w:pPr>
          <w:hyperlink w:anchor="_Toc373104430" w:history="1">
            <w:r w:rsidR="00CA53F4" w:rsidRPr="00782EA9">
              <w:rPr>
                <w:rStyle w:val="Hyperlink"/>
                <w:noProof/>
              </w:rPr>
              <w:t>15.</w:t>
            </w:r>
            <w:r w:rsidR="00CA53F4">
              <w:rPr>
                <w:rFonts w:eastAsiaTheme="minorEastAsia" w:cstheme="minorBidi"/>
                <w:b w:val="0"/>
                <w:bCs w:val="0"/>
                <w:smallCaps w:val="0"/>
                <w:noProof/>
                <w:lang w:eastAsia="en-AU"/>
              </w:rPr>
              <w:tab/>
            </w:r>
            <w:r w:rsidR="00CA53F4" w:rsidRPr="00782EA9">
              <w:rPr>
                <w:rStyle w:val="Hyperlink"/>
                <w:noProof/>
              </w:rPr>
              <w:t>Application Appraisal</w:t>
            </w:r>
            <w:r w:rsidR="00CA53F4">
              <w:rPr>
                <w:noProof/>
                <w:webHidden/>
              </w:rPr>
              <w:tab/>
            </w:r>
            <w:r w:rsidR="00CA53F4">
              <w:rPr>
                <w:noProof/>
                <w:webHidden/>
              </w:rPr>
              <w:fldChar w:fldCharType="begin"/>
            </w:r>
            <w:r w:rsidR="00CA53F4">
              <w:rPr>
                <w:noProof/>
                <w:webHidden/>
              </w:rPr>
              <w:instrText xml:space="preserve"> PAGEREF _Toc373104430 \h </w:instrText>
            </w:r>
            <w:r w:rsidR="00CA53F4">
              <w:rPr>
                <w:noProof/>
                <w:webHidden/>
              </w:rPr>
            </w:r>
            <w:r w:rsidR="00CA53F4">
              <w:rPr>
                <w:noProof/>
                <w:webHidden/>
              </w:rPr>
              <w:fldChar w:fldCharType="separate"/>
            </w:r>
            <w:r w:rsidR="00BB4E58">
              <w:rPr>
                <w:noProof/>
                <w:webHidden/>
              </w:rPr>
              <w:t>13</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1" w:history="1">
            <w:r w:rsidR="00CA53F4" w:rsidRPr="00782EA9">
              <w:rPr>
                <w:rStyle w:val="Hyperlink"/>
                <w:noProof/>
              </w:rPr>
              <w:t>15.1</w:t>
            </w:r>
            <w:r w:rsidR="00CA53F4">
              <w:rPr>
                <w:rFonts w:eastAsiaTheme="minorEastAsia" w:cstheme="minorBidi"/>
                <w:smallCaps w:val="0"/>
                <w:noProof/>
                <w:lang w:eastAsia="en-AU"/>
              </w:rPr>
              <w:tab/>
            </w:r>
            <w:r w:rsidR="00CA53F4" w:rsidRPr="00782EA9">
              <w:rPr>
                <w:rStyle w:val="Hyperlink"/>
                <w:noProof/>
              </w:rPr>
              <w:t>Role Allocation</w:t>
            </w:r>
            <w:r w:rsidR="00CA53F4">
              <w:rPr>
                <w:noProof/>
                <w:webHidden/>
              </w:rPr>
              <w:tab/>
            </w:r>
            <w:r w:rsidR="00CA53F4">
              <w:rPr>
                <w:noProof/>
                <w:webHidden/>
              </w:rPr>
              <w:fldChar w:fldCharType="begin"/>
            </w:r>
            <w:r w:rsidR="00CA53F4">
              <w:rPr>
                <w:noProof/>
                <w:webHidden/>
              </w:rPr>
              <w:instrText xml:space="preserve"> PAGEREF _Toc373104431 \h </w:instrText>
            </w:r>
            <w:r w:rsidR="00CA53F4">
              <w:rPr>
                <w:noProof/>
                <w:webHidden/>
              </w:rPr>
            </w:r>
            <w:r w:rsidR="00CA53F4">
              <w:rPr>
                <w:noProof/>
                <w:webHidden/>
              </w:rPr>
              <w:fldChar w:fldCharType="separate"/>
            </w:r>
            <w:r w:rsidR="00BB4E58">
              <w:rPr>
                <w:noProof/>
                <w:webHidden/>
              </w:rPr>
              <w:t>14</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2" w:history="1">
            <w:r w:rsidR="00CA53F4" w:rsidRPr="00782EA9">
              <w:rPr>
                <w:rStyle w:val="Hyperlink"/>
                <w:noProof/>
              </w:rPr>
              <w:t>15.2</w:t>
            </w:r>
            <w:r w:rsidR="00CA53F4">
              <w:rPr>
                <w:rFonts w:eastAsiaTheme="minorEastAsia" w:cstheme="minorBidi"/>
                <w:smallCaps w:val="0"/>
                <w:noProof/>
                <w:lang w:eastAsia="en-AU"/>
              </w:rPr>
              <w:tab/>
            </w:r>
            <w:r w:rsidR="00CA53F4" w:rsidRPr="00782EA9">
              <w:rPr>
                <w:rStyle w:val="Hyperlink"/>
                <w:noProof/>
              </w:rPr>
              <w:t>Selection Criteria</w:t>
            </w:r>
            <w:r w:rsidR="00CA53F4">
              <w:rPr>
                <w:noProof/>
                <w:webHidden/>
              </w:rPr>
              <w:tab/>
            </w:r>
            <w:r w:rsidR="00CA53F4">
              <w:rPr>
                <w:noProof/>
                <w:webHidden/>
              </w:rPr>
              <w:fldChar w:fldCharType="begin"/>
            </w:r>
            <w:r w:rsidR="00CA53F4">
              <w:rPr>
                <w:noProof/>
                <w:webHidden/>
              </w:rPr>
              <w:instrText xml:space="preserve"> PAGEREF _Toc373104432 \h </w:instrText>
            </w:r>
            <w:r w:rsidR="00CA53F4">
              <w:rPr>
                <w:noProof/>
                <w:webHidden/>
              </w:rPr>
            </w:r>
            <w:r w:rsidR="00CA53F4">
              <w:rPr>
                <w:noProof/>
                <w:webHidden/>
              </w:rPr>
              <w:fldChar w:fldCharType="separate"/>
            </w:r>
            <w:r w:rsidR="00BB4E58">
              <w:rPr>
                <w:noProof/>
                <w:webHidden/>
              </w:rPr>
              <w:t>15</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3" w:history="1">
            <w:r w:rsidR="00CA53F4" w:rsidRPr="00782EA9">
              <w:rPr>
                <w:rStyle w:val="Hyperlink"/>
                <w:noProof/>
              </w:rPr>
              <w:t>15.3</w:t>
            </w:r>
            <w:r w:rsidR="00CA53F4">
              <w:rPr>
                <w:rFonts w:eastAsiaTheme="minorEastAsia" w:cstheme="minorBidi"/>
                <w:smallCaps w:val="0"/>
                <w:noProof/>
                <w:lang w:eastAsia="en-AU"/>
              </w:rPr>
              <w:tab/>
            </w:r>
            <w:r w:rsidR="00CA53F4" w:rsidRPr="00782EA9">
              <w:rPr>
                <w:rStyle w:val="Hyperlink"/>
                <w:noProof/>
              </w:rPr>
              <w:t>Risk Evaluation</w:t>
            </w:r>
            <w:r w:rsidR="00CA53F4">
              <w:rPr>
                <w:noProof/>
                <w:webHidden/>
              </w:rPr>
              <w:tab/>
            </w:r>
            <w:r w:rsidR="00CA53F4">
              <w:rPr>
                <w:noProof/>
                <w:webHidden/>
              </w:rPr>
              <w:fldChar w:fldCharType="begin"/>
            </w:r>
            <w:r w:rsidR="00CA53F4">
              <w:rPr>
                <w:noProof/>
                <w:webHidden/>
              </w:rPr>
              <w:instrText xml:space="preserve"> PAGEREF _Toc373104433 \h </w:instrText>
            </w:r>
            <w:r w:rsidR="00CA53F4">
              <w:rPr>
                <w:noProof/>
                <w:webHidden/>
              </w:rPr>
            </w:r>
            <w:r w:rsidR="00CA53F4">
              <w:rPr>
                <w:noProof/>
                <w:webHidden/>
              </w:rPr>
              <w:fldChar w:fldCharType="separate"/>
            </w:r>
            <w:r w:rsidR="00BB4E58">
              <w:rPr>
                <w:noProof/>
                <w:webHidden/>
              </w:rPr>
              <w:t>15</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4" w:history="1">
            <w:r w:rsidR="00CA53F4" w:rsidRPr="00782EA9">
              <w:rPr>
                <w:rStyle w:val="Hyperlink"/>
                <w:noProof/>
              </w:rPr>
              <w:t>15.4</w:t>
            </w:r>
            <w:r w:rsidR="00CA53F4">
              <w:rPr>
                <w:rFonts w:eastAsiaTheme="minorEastAsia" w:cstheme="minorBidi"/>
                <w:smallCaps w:val="0"/>
                <w:noProof/>
                <w:lang w:eastAsia="en-AU"/>
              </w:rPr>
              <w:tab/>
            </w:r>
            <w:r w:rsidR="00CA53F4" w:rsidRPr="00782EA9">
              <w:rPr>
                <w:rStyle w:val="Hyperlink"/>
                <w:noProof/>
              </w:rPr>
              <w:t>Funding Recommendations</w:t>
            </w:r>
            <w:r w:rsidR="00CA53F4">
              <w:rPr>
                <w:noProof/>
                <w:webHidden/>
              </w:rPr>
              <w:tab/>
            </w:r>
            <w:r w:rsidR="00CA53F4">
              <w:rPr>
                <w:noProof/>
                <w:webHidden/>
              </w:rPr>
              <w:fldChar w:fldCharType="begin"/>
            </w:r>
            <w:r w:rsidR="00CA53F4">
              <w:rPr>
                <w:noProof/>
                <w:webHidden/>
              </w:rPr>
              <w:instrText xml:space="preserve"> PAGEREF _Toc373104434 \h </w:instrText>
            </w:r>
            <w:r w:rsidR="00CA53F4">
              <w:rPr>
                <w:noProof/>
                <w:webHidden/>
              </w:rPr>
            </w:r>
            <w:r w:rsidR="00CA53F4">
              <w:rPr>
                <w:noProof/>
                <w:webHidden/>
              </w:rPr>
              <w:fldChar w:fldCharType="separate"/>
            </w:r>
            <w:r w:rsidR="00BB4E58">
              <w:rPr>
                <w:noProof/>
                <w:webHidden/>
              </w:rPr>
              <w:t>16</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5" w:history="1">
            <w:r w:rsidR="00CA53F4" w:rsidRPr="00782EA9">
              <w:rPr>
                <w:rStyle w:val="Hyperlink"/>
                <w:noProof/>
              </w:rPr>
              <w:t>15.5</w:t>
            </w:r>
            <w:r w:rsidR="00CA53F4">
              <w:rPr>
                <w:rFonts w:eastAsiaTheme="minorEastAsia" w:cstheme="minorBidi"/>
                <w:smallCaps w:val="0"/>
                <w:noProof/>
                <w:lang w:eastAsia="en-AU"/>
              </w:rPr>
              <w:tab/>
            </w:r>
            <w:r w:rsidR="00CA53F4" w:rsidRPr="00782EA9">
              <w:rPr>
                <w:rStyle w:val="Hyperlink"/>
                <w:noProof/>
              </w:rPr>
              <w:t>Terms and Conditions</w:t>
            </w:r>
            <w:r w:rsidR="00CA53F4">
              <w:rPr>
                <w:noProof/>
                <w:webHidden/>
              </w:rPr>
              <w:tab/>
            </w:r>
            <w:r w:rsidR="00CA53F4">
              <w:rPr>
                <w:noProof/>
                <w:webHidden/>
              </w:rPr>
              <w:fldChar w:fldCharType="begin"/>
            </w:r>
            <w:r w:rsidR="00CA53F4">
              <w:rPr>
                <w:noProof/>
                <w:webHidden/>
              </w:rPr>
              <w:instrText xml:space="preserve"> PAGEREF _Toc373104435 \h </w:instrText>
            </w:r>
            <w:r w:rsidR="00CA53F4">
              <w:rPr>
                <w:noProof/>
                <w:webHidden/>
              </w:rPr>
            </w:r>
            <w:r w:rsidR="00CA53F4">
              <w:rPr>
                <w:noProof/>
                <w:webHidden/>
              </w:rPr>
              <w:fldChar w:fldCharType="separate"/>
            </w:r>
            <w:r w:rsidR="00BB4E58">
              <w:rPr>
                <w:noProof/>
                <w:webHidden/>
              </w:rPr>
              <w:t>16</w:t>
            </w:r>
            <w:r w:rsidR="00CA53F4">
              <w:rPr>
                <w:noProof/>
                <w:webHidden/>
              </w:rPr>
              <w:fldChar w:fldCharType="end"/>
            </w:r>
          </w:hyperlink>
        </w:p>
        <w:p w:rsidR="00CA53F4" w:rsidRDefault="009B2E70">
          <w:pPr>
            <w:pStyle w:val="TOC1"/>
            <w:rPr>
              <w:rFonts w:eastAsiaTheme="minorEastAsia" w:cstheme="minorBidi"/>
              <w:b w:val="0"/>
              <w:bCs w:val="0"/>
              <w:caps w:val="0"/>
              <w:lang w:eastAsia="en-AU"/>
            </w:rPr>
          </w:pPr>
          <w:hyperlink w:anchor="_Toc373104436" w:history="1">
            <w:r w:rsidR="00CA53F4" w:rsidRPr="00782EA9">
              <w:rPr>
                <w:rStyle w:val="Hyperlink"/>
              </w:rPr>
              <w:t>Administration of Funding Contracts</w:t>
            </w:r>
            <w:r w:rsidR="00CA53F4">
              <w:rPr>
                <w:webHidden/>
              </w:rPr>
              <w:tab/>
            </w:r>
            <w:r w:rsidR="00CA53F4">
              <w:rPr>
                <w:webHidden/>
              </w:rPr>
              <w:fldChar w:fldCharType="begin"/>
            </w:r>
            <w:r w:rsidR="00CA53F4">
              <w:rPr>
                <w:webHidden/>
              </w:rPr>
              <w:instrText xml:space="preserve"> PAGEREF _Toc373104436 \h </w:instrText>
            </w:r>
            <w:r w:rsidR="00CA53F4">
              <w:rPr>
                <w:webHidden/>
              </w:rPr>
            </w:r>
            <w:r w:rsidR="00CA53F4">
              <w:rPr>
                <w:webHidden/>
              </w:rPr>
              <w:fldChar w:fldCharType="separate"/>
            </w:r>
            <w:r w:rsidR="00BB4E58">
              <w:rPr>
                <w:webHidden/>
              </w:rPr>
              <w:t>17</w:t>
            </w:r>
            <w:r w:rsidR="00CA53F4">
              <w:rPr>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37" w:history="1">
            <w:r w:rsidR="00CA53F4" w:rsidRPr="00782EA9">
              <w:rPr>
                <w:rStyle w:val="Hyperlink"/>
                <w:noProof/>
              </w:rPr>
              <w:t>16.</w:t>
            </w:r>
            <w:r w:rsidR="00CA53F4">
              <w:rPr>
                <w:rFonts w:eastAsiaTheme="minorEastAsia" w:cstheme="minorBidi"/>
                <w:b w:val="0"/>
                <w:bCs w:val="0"/>
                <w:smallCaps w:val="0"/>
                <w:noProof/>
                <w:lang w:eastAsia="en-AU"/>
              </w:rPr>
              <w:tab/>
            </w:r>
            <w:r w:rsidR="00CA53F4" w:rsidRPr="00782EA9">
              <w:rPr>
                <w:rStyle w:val="Hyperlink"/>
                <w:noProof/>
              </w:rPr>
              <w:t>Contract Drafting and Execution</w:t>
            </w:r>
            <w:r w:rsidR="00CA53F4">
              <w:rPr>
                <w:noProof/>
                <w:webHidden/>
              </w:rPr>
              <w:tab/>
            </w:r>
            <w:r w:rsidR="00CA53F4">
              <w:rPr>
                <w:noProof/>
                <w:webHidden/>
              </w:rPr>
              <w:fldChar w:fldCharType="begin"/>
            </w:r>
            <w:r w:rsidR="00CA53F4">
              <w:rPr>
                <w:noProof/>
                <w:webHidden/>
              </w:rPr>
              <w:instrText xml:space="preserve"> PAGEREF _Toc373104437 \h </w:instrText>
            </w:r>
            <w:r w:rsidR="00CA53F4">
              <w:rPr>
                <w:noProof/>
                <w:webHidden/>
              </w:rPr>
            </w:r>
            <w:r w:rsidR="00CA53F4">
              <w:rPr>
                <w:noProof/>
                <w:webHidden/>
              </w:rPr>
              <w:fldChar w:fldCharType="separate"/>
            </w:r>
            <w:r w:rsidR="00BB4E58">
              <w:rPr>
                <w:noProof/>
                <w:webHidden/>
              </w:rPr>
              <w:t>17</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8" w:history="1">
            <w:r w:rsidR="00CA53F4" w:rsidRPr="00782EA9">
              <w:rPr>
                <w:rStyle w:val="Hyperlink"/>
                <w:noProof/>
              </w:rPr>
              <w:t>16.1</w:t>
            </w:r>
            <w:r w:rsidR="00CA53F4">
              <w:rPr>
                <w:rFonts w:eastAsiaTheme="minorEastAsia" w:cstheme="minorBidi"/>
                <w:smallCaps w:val="0"/>
                <w:noProof/>
                <w:lang w:eastAsia="en-AU"/>
              </w:rPr>
              <w:tab/>
            </w:r>
            <w:r w:rsidR="00CA53F4" w:rsidRPr="00782EA9">
              <w:rPr>
                <w:rStyle w:val="Hyperlink"/>
                <w:noProof/>
              </w:rPr>
              <w:t>Form of Contracts</w:t>
            </w:r>
            <w:r w:rsidR="00CA53F4">
              <w:rPr>
                <w:noProof/>
                <w:webHidden/>
              </w:rPr>
              <w:tab/>
            </w:r>
            <w:r w:rsidR="00CA53F4">
              <w:rPr>
                <w:noProof/>
                <w:webHidden/>
              </w:rPr>
              <w:fldChar w:fldCharType="begin"/>
            </w:r>
            <w:r w:rsidR="00CA53F4">
              <w:rPr>
                <w:noProof/>
                <w:webHidden/>
              </w:rPr>
              <w:instrText xml:space="preserve"> PAGEREF _Toc373104438 \h </w:instrText>
            </w:r>
            <w:r w:rsidR="00CA53F4">
              <w:rPr>
                <w:noProof/>
                <w:webHidden/>
              </w:rPr>
            </w:r>
            <w:r w:rsidR="00CA53F4">
              <w:rPr>
                <w:noProof/>
                <w:webHidden/>
              </w:rPr>
              <w:fldChar w:fldCharType="separate"/>
            </w:r>
            <w:r w:rsidR="00BB4E58">
              <w:rPr>
                <w:noProof/>
                <w:webHidden/>
              </w:rPr>
              <w:t>17</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39" w:history="1">
            <w:r w:rsidR="00CA53F4" w:rsidRPr="00782EA9">
              <w:rPr>
                <w:rStyle w:val="Hyperlink"/>
                <w:noProof/>
              </w:rPr>
              <w:t>16.2</w:t>
            </w:r>
            <w:r w:rsidR="00CA53F4">
              <w:rPr>
                <w:rFonts w:eastAsiaTheme="minorEastAsia" w:cstheme="minorBidi"/>
                <w:smallCaps w:val="0"/>
                <w:noProof/>
                <w:lang w:eastAsia="en-AU"/>
              </w:rPr>
              <w:tab/>
            </w:r>
            <w:r w:rsidR="00CA53F4" w:rsidRPr="00782EA9">
              <w:rPr>
                <w:rStyle w:val="Hyperlink"/>
                <w:noProof/>
              </w:rPr>
              <w:t>Execution Process</w:t>
            </w:r>
            <w:r w:rsidR="00CA53F4">
              <w:rPr>
                <w:noProof/>
                <w:webHidden/>
              </w:rPr>
              <w:tab/>
            </w:r>
            <w:r w:rsidR="00CA53F4">
              <w:rPr>
                <w:noProof/>
                <w:webHidden/>
              </w:rPr>
              <w:fldChar w:fldCharType="begin"/>
            </w:r>
            <w:r w:rsidR="00CA53F4">
              <w:rPr>
                <w:noProof/>
                <w:webHidden/>
              </w:rPr>
              <w:instrText xml:space="preserve"> PAGEREF _Toc373104439 \h </w:instrText>
            </w:r>
            <w:r w:rsidR="00CA53F4">
              <w:rPr>
                <w:noProof/>
                <w:webHidden/>
              </w:rPr>
            </w:r>
            <w:r w:rsidR="00CA53F4">
              <w:rPr>
                <w:noProof/>
                <w:webHidden/>
              </w:rPr>
              <w:fldChar w:fldCharType="separate"/>
            </w:r>
            <w:r w:rsidR="00BB4E58">
              <w:rPr>
                <w:noProof/>
                <w:webHidden/>
              </w:rPr>
              <w:t>17</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0" w:history="1">
            <w:r w:rsidR="00CA53F4" w:rsidRPr="00782EA9">
              <w:rPr>
                <w:rStyle w:val="Hyperlink"/>
                <w:noProof/>
              </w:rPr>
              <w:t>16.3</w:t>
            </w:r>
            <w:r w:rsidR="00CA53F4">
              <w:rPr>
                <w:rFonts w:eastAsiaTheme="minorEastAsia" w:cstheme="minorBidi"/>
                <w:smallCaps w:val="0"/>
                <w:noProof/>
                <w:lang w:eastAsia="en-AU"/>
              </w:rPr>
              <w:tab/>
            </w:r>
            <w:r w:rsidR="00CA53F4" w:rsidRPr="00782EA9">
              <w:rPr>
                <w:rStyle w:val="Hyperlink"/>
                <w:noProof/>
              </w:rPr>
              <w:t>Contract Variations</w:t>
            </w:r>
            <w:r w:rsidR="00CA53F4">
              <w:rPr>
                <w:noProof/>
                <w:webHidden/>
              </w:rPr>
              <w:tab/>
            </w:r>
            <w:r w:rsidR="00CA53F4">
              <w:rPr>
                <w:noProof/>
                <w:webHidden/>
              </w:rPr>
              <w:fldChar w:fldCharType="begin"/>
            </w:r>
            <w:r w:rsidR="00CA53F4">
              <w:rPr>
                <w:noProof/>
                <w:webHidden/>
              </w:rPr>
              <w:instrText xml:space="preserve"> PAGEREF _Toc373104440 \h </w:instrText>
            </w:r>
            <w:r w:rsidR="00CA53F4">
              <w:rPr>
                <w:noProof/>
                <w:webHidden/>
              </w:rPr>
            </w:r>
            <w:r w:rsidR="00CA53F4">
              <w:rPr>
                <w:noProof/>
                <w:webHidden/>
              </w:rPr>
              <w:fldChar w:fldCharType="separate"/>
            </w:r>
            <w:r w:rsidR="00BB4E58">
              <w:rPr>
                <w:noProof/>
                <w:webHidden/>
              </w:rPr>
              <w:t>17</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41" w:history="1">
            <w:r w:rsidR="00CA53F4" w:rsidRPr="00782EA9">
              <w:rPr>
                <w:rStyle w:val="Hyperlink"/>
                <w:noProof/>
              </w:rPr>
              <w:t>17.</w:t>
            </w:r>
            <w:r w:rsidR="00CA53F4">
              <w:rPr>
                <w:rFonts w:eastAsiaTheme="minorEastAsia" w:cstheme="minorBidi"/>
                <w:b w:val="0"/>
                <w:bCs w:val="0"/>
                <w:smallCaps w:val="0"/>
                <w:noProof/>
                <w:lang w:eastAsia="en-AU"/>
              </w:rPr>
              <w:tab/>
            </w:r>
            <w:r w:rsidR="00CA53F4" w:rsidRPr="00782EA9">
              <w:rPr>
                <w:rStyle w:val="Hyperlink"/>
                <w:noProof/>
              </w:rPr>
              <w:t>Payments</w:t>
            </w:r>
            <w:r w:rsidR="00CA53F4">
              <w:rPr>
                <w:noProof/>
                <w:webHidden/>
              </w:rPr>
              <w:tab/>
            </w:r>
            <w:r w:rsidR="00CA53F4">
              <w:rPr>
                <w:noProof/>
                <w:webHidden/>
              </w:rPr>
              <w:fldChar w:fldCharType="begin"/>
            </w:r>
            <w:r w:rsidR="00CA53F4">
              <w:rPr>
                <w:noProof/>
                <w:webHidden/>
              </w:rPr>
              <w:instrText xml:space="preserve"> PAGEREF _Toc373104441 \h </w:instrText>
            </w:r>
            <w:r w:rsidR="00CA53F4">
              <w:rPr>
                <w:noProof/>
                <w:webHidden/>
              </w:rPr>
            </w:r>
            <w:r w:rsidR="00CA53F4">
              <w:rPr>
                <w:noProof/>
                <w:webHidden/>
              </w:rPr>
              <w:fldChar w:fldCharType="separate"/>
            </w:r>
            <w:r w:rsidR="00BB4E58">
              <w:rPr>
                <w:noProof/>
                <w:webHidden/>
              </w:rPr>
              <w:t>18</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2" w:history="1">
            <w:r w:rsidR="00CA53F4" w:rsidRPr="00782EA9">
              <w:rPr>
                <w:rStyle w:val="Hyperlink"/>
                <w:noProof/>
              </w:rPr>
              <w:t>17.1</w:t>
            </w:r>
            <w:r w:rsidR="00CA53F4">
              <w:rPr>
                <w:rFonts w:eastAsiaTheme="minorEastAsia" w:cstheme="minorBidi"/>
                <w:smallCaps w:val="0"/>
                <w:noProof/>
                <w:lang w:eastAsia="en-AU"/>
              </w:rPr>
              <w:tab/>
            </w:r>
            <w:r w:rsidR="00CA53F4" w:rsidRPr="00782EA9">
              <w:rPr>
                <w:rStyle w:val="Hyperlink"/>
                <w:noProof/>
              </w:rPr>
              <w:t>Recurrent Funding</w:t>
            </w:r>
            <w:r w:rsidR="00CA53F4">
              <w:rPr>
                <w:noProof/>
                <w:webHidden/>
              </w:rPr>
              <w:tab/>
            </w:r>
            <w:r w:rsidR="00CA53F4">
              <w:rPr>
                <w:noProof/>
                <w:webHidden/>
              </w:rPr>
              <w:fldChar w:fldCharType="begin"/>
            </w:r>
            <w:r w:rsidR="00CA53F4">
              <w:rPr>
                <w:noProof/>
                <w:webHidden/>
              </w:rPr>
              <w:instrText xml:space="preserve"> PAGEREF _Toc373104442 \h </w:instrText>
            </w:r>
            <w:r w:rsidR="00CA53F4">
              <w:rPr>
                <w:noProof/>
                <w:webHidden/>
              </w:rPr>
            </w:r>
            <w:r w:rsidR="00CA53F4">
              <w:rPr>
                <w:noProof/>
                <w:webHidden/>
              </w:rPr>
              <w:fldChar w:fldCharType="separate"/>
            </w:r>
            <w:r w:rsidR="00BB4E58">
              <w:rPr>
                <w:noProof/>
                <w:webHidden/>
              </w:rPr>
              <w:t>18</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3" w:history="1">
            <w:r w:rsidR="00CA53F4" w:rsidRPr="00782EA9">
              <w:rPr>
                <w:rStyle w:val="Hyperlink"/>
                <w:noProof/>
              </w:rPr>
              <w:t>17.2</w:t>
            </w:r>
            <w:r w:rsidR="00CA53F4">
              <w:rPr>
                <w:rFonts w:eastAsiaTheme="minorEastAsia" w:cstheme="minorBidi"/>
                <w:smallCaps w:val="0"/>
                <w:noProof/>
                <w:lang w:eastAsia="en-AU"/>
              </w:rPr>
              <w:tab/>
            </w:r>
            <w:r w:rsidR="00CA53F4" w:rsidRPr="00782EA9">
              <w:rPr>
                <w:rStyle w:val="Hyperlink"/>
                <w:noProof/>
              </w:rPr>
              <w:t>Non-recurrent and Asset Funding</w:t>
            </w:r>
            <w:r w:rsidR="00CA53F4">
              <w:rPr>
                <w:noProof/>
                <w:webHidden/>
              </w:rPr>
              <w:tab/>
            </w:r>
            <w:r w:rsidR="00CA53F4">
              <w:rPr>
                <w:noProof/>
                <w:webHidden/>
              </w:rPr>
              <w:fldChar w:fldCharType="begin"/>
            </w:r>
            <w:r w:rsidR="00CA53F4">
              <w:rPr>
                <w:noProof/>
                <w:webHidden/>
              </w:rPr>
              <w:instrText xml:space="preserve"> PAGEREF _Toc373104443 \h </w:instrText>
            </w:r>
            <w:r w:rsidR="00CA53F4">
              <w:rPr>
                <w:noProof/>
                <w:webHidden/>
              </w:rPr>
            </w:r>
            <w:r w:rsidR="00CA53F4">
              <w:rPr>
                <w:noProof/>
                <w:webHidden/>
              </w:rPr>
              <w:fldChar w:fldCharType="separate"/>
            </w:r>
            <w:r w:rsidR="00BB4E58">
              <w:rPr>
                <w:noProof/>
                <w:webHidden/>
              </w:rPr>
              <w:t>18</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4" w:history="1">
            <w:r w:rsidR="00CA53F4" w:rsidRPr="00782EA9">
              <w:rPr>
                <w:rStyle w:val="Hyperlink"/>
                <w:noProof/>
              </w:rPr>
              <w:t>17.3</w:t>
            </w:r>
            <w:r w:rsidR="00CA53F4">
              <w:rPr>
                <w:rFonts w:eastAsiaTheme="minorEastAsia" w:cstheme="minorBidi"/>
                <w:smallCaps w:val="0"/>
                <w:noProof/>
                <w:lang w:eastAsia="en-AU"/>
              </w:rPr>
              <w:tab/>
            </w:r>
            <w:r w:rsidR="00CA53F4" w:rsidRPr="00782EA9">
              <w:rPr>
                <w:rStyle w:val="Hyperlink"/>
                <w:noProof/>
              </w:rPr>
              <w:t>Withholding Payments</w:t>
            </w:r>
            <w:r w:rsidR="00CA53F4">
              <w:rPr>
                <w:noProof/>
                <w:webHidden/>
              </w:rPr>
              <w:tab/>
            </w:r>
            <w:r w:rsidR="00CA53F4">
              <w:rPr>
                <w:noProof/>
                <w:webHidden/>
              </w:rPr>
              <w:fldChar w:fldCharType="begin"/>
            </w:r>
            <w:r w:rsidR="00CA53F4">
              <w:rPr>
                <w:noProof/>
                <w:webHidden/>
              </w:rPr>
              <w:instrText xml:space="preserve"> PAGEREF _Toc373104444 \h </w:instrText>
            </w:r>
            <w:r w:rsidR="00CA53F4">
              <w:rPr>
                <w:noProof/>
                <w:webHidden/>
              </w:rPr>
            </w:r>
            <w:r w:rsidR="00CA53F4">
              <w:rPr>
                <w:noProof/>
                <w:webHidden/>
              </w:rPr>
              <w:fldChar w:fldCharType="separate"/>
            </w:r>
            <w:r w:rsidR="00BB4E58">
              <w:rPr>
                <w:noProof/>
                <w:webHidden/>
              </w:rPr>
              <w:t>19</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45" w:history="1">
            <w:r w:rsidR="00CA53F4" w:rsidRPr="00782EA9">
              <w:rPr>
                <w:rStyle w:val="Hyperlink"/>
                <w:noProof/>
              </w:rPr>
              <w:t>18.</w:t>
            </w:r>
            <w:r w:rsidR="00CA53F4">
              <w:rPr>
                <w:rFonts w:eastAsiaTheme="minorEastAsia" w:cstheme="minorBidi"/>
                <w:b w:val="0"/>
                <w:bCs w:val="0"/>
                <w:smallCaps w:val="0"/>
                <w:noProof/>
                <w:lang w:eastAsia="en-AU"/>
              </w:rPr>
              <w:tab/>
            </w:r>
            <w:r w:rsidR="00CA53F4" w:rsidRPr="00782EA9">
              <w:rPr>
                <w:rStyle w:val="Hyperlink"/>
                <w:noProof/>
              </w:rPr>
              <w:t>Monitoring</w:t>
            </w:r>
            <w:r w:rsidR="00CA53F4">
              <w:rPr>
                <w:noProof/>
                <w:webHidden/>
              </w:rPr>
              <w:tab/>
            </w:r>
            <w:r w:rsidR="00CA53F4">
              <w:rPr>
                <w:noProof/>
                <w:webHidden/>
              </w:rPr>
              <w:fldChar w:fldCharType="begin"/>
            </w:r>
            <w:r w:rsidR="00CA53F4">
              <w:rPr>
                <w:noProof/>
                <w:webHidden/>
              </w:rPr>
              <w:instrText xml:space="preserve"> PAGEREF _Toc373104445 \h </w:instrText>
            </w:r>
            <w:r w:rsidR="00CA53F4">
              <w:rPr>
                <w:noProof/>
                <w:webHidden/>
              </w:rPr>
            </w:r>
            <w:r w:rsidR="00CA53F4">
              <w:rPr>
                <w:noProof/>
                <w:webHidden/>
              </w:rPr>
              <w:fldChar w:fldCharType="separate"/>
            </w:r>
            <w:r w:rsidR="00BB4E58">
              <w:rPr>
                <w:noProof/>
                <w:webHidden/>
              </w:rPr>
              <w:t>19</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6" w:history="1">
            <w:r w:rsidR="00CA53F4" w:rsidRPr="00782EA9">
              <w:rPr>
                <w:rStyle w:val="Hyperlink"/>
                <w:noProof/>
              </w:rPr>
              <w:t>18.1</w:t>
            </w:r>
            <w:r w:rsidR="00CA53F4">
              <w:rPr>
                <w:rFonts w:eastAsiaTheme="minorEastAsia" w:cstheme="minorBidi"/>
                <w:smallCaps w:val="0"/>
                <w:noProof/>
                <w:lang w:eastAsia="en-AU"/>
              </w:rPr>
              <w:tab/>
            </w:r>
            <w:r w:rsidR="00CA53F4" w:rsidRPr="00782EA9">
              <w:rPr>
                <w:rStyle w:val="Hyperlink"/>
                <w:noProof/>
              </w:rPr>
              <w:t>Milestone Acquittal Tasks</w:t>
            </w:r>
            <w:r w:rsidR="00CA53F4">
              <w:rPr>
                <w:noProof/>
                <w:webHidden/>
              </w:rPr>
              <w:tab/>
            </w:r>
            <w:r w:rsidR="00CA53F4">
              <w:rPr>
                <w:noProof/>
                <w:webHidden/>
              </w:rPr>
              <w:fldChar w:fldCharType="begin"/>
            </w:r>
            <w:r w:rsidR="00CA53F4">
              <w:rPr>
                <w:noProof/>
                <w:webHidden/>
              </w:rPr>
              <w:instrText xml:space="preserve"> PAGEREF _Toc373104446 \h </w:instrText>
            </w:r>
            <w:r w:rsidR="00CA53F4">
              <w:rPr>
                <w:noProof/>
                <w:webHidden/>
              </w:rPr>
            </w:r>
            <w:r w:rsidR="00CA53F4">
              <w:rPr>
                <w:noProof/>
                <w:webHidden/>
              </w:rPr>
              <w:fldChar w:fldCharType="separate"/>
            </w:r>
            <w:r w:rsidR="00BB4E58">
              <w:rPr>
                <w:noProof/>
                <w:webHidden/>
              </w:rPr>
              <w:t>19</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7" w:history="1">
            <w:r w:rsidR="00CA53F4" w:rsidRPr="00782EA9">
              <w:rPr>
                <w:rStyle w:val="Hyperlink"/>
                <w:noProof/>
              </w:rPr>
              <w:t>18.2</w:t>
            </w:r>
            <w:r w:rsidR="00CA53F4">
              <w:rPr>
                <w:rFonts w:eastAsiaTheme="minorEastAsia" w:cstheme="minorBidi"/>
                <w:smallCaps w:val="0"/>
                <w:noProof/>
                <w:lang w:eastAsia="en-AU"/>
              </w:rPr>
              <w:tab/>
            </w:r>
            <w:r w:rsidR="00CA53F4" w:rsidRPr="00782EA9">
              <w:rPr>
                <w:rStyle w:val="Hyperlink"/>
                <w:noProof/>
              </w:rPr>
              <w:t>Financial Acquittal</w:t>
            </w:r>
            <w:r w:rsidR="00CA53F4">
              <w:rPr>
                <w:noProof/>
                <w:webHidden/>
              </w:rPr>
              <w:tab/>
            </w:r>
            <w:r w:rsidR="00CA53F4">
              <w:rPr>
                <w:noProof/>
                <w:webHidden/>
              </w:rPr>
              <w:fldChar w:fldCharType="begin"/>
            </w:r>
            <w:r w:rsidR="00CA53F4">
              <w:rPr>
                <w:noProof/>
                <w:webHidden/>
              </w:rPr>
              <w:instrText xml:space="preserve"> PAGEREF _Toc373104447 \h </w:instrText>
            </w:r>
            <w:r w:rsidR="00CA53F4">
              <w:rPr>
                <w:noProof/>
                <w:webHidden/>
              </w:rPr>
            </w:r>
            <w:r w:rsidR="00CA53F4">
              <w:rPr>
                <w:noProof/>
                <w:webHidden/>
              </w:rPr>
              <w:fldChar w:fldCharType="separate"/>
            </w:r>
            <w:r w:rsidR="00BB4E58">
              <w:rPr>
                <w:noProof/>
                <w:webHidden/>
              </w:rPr>
              <w:t>20</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48" w:history="1">
            <w:r w:rsidR="00CA53F4" w:rsidRPr="00782EA9">
              <w:rPr>
                <w:rStyle w:val="Hyperlink"/>
                <w:noProof/>
              </w:rPr>
              <w:t>18.3</w:t>
            </w:r>
            <w:r w:rsidR="00CA53F4">
              <w:rPr>
                <w:rFonts w:eastAsiaTheme="minorEastAsia" w:cstheme="minorBidi"/>
                <w:smallCaps w:val="0"/>
                <w:noProof/>
                <w:lang w:eastAsia="en-AU"/>
              </w:rPr>
              <w:tab/>
            </w:r>
            <w:r w:rsidR="00CA53F4" w:rsidRPr="00782EA9">
              <w:rPr>
                <w:rStyle w:val="Hyperlink"/>
                <w:noProof/>
              </w:rPr>
              <w:t>Performance Reporting</w:t>
            </w:r>
            <w:r w:rsidR="00CA53F4">
              <w:rPr>
                <w:noProof/>
                <w:webHidden/>
              </w:rPr>
              <w:tab/>
            </w:r>
            <w:r w:rsidR="00CA53F4">
              <w:rPr>
                <w:noProof/>
                <w:webHidden/>
              </w:rPr>
              <w:fldChar w:fldCharType="begin"/>
            </w:r>
            <w:r w:rsidR="00CA53F4">
              <w:rPr>
                <w:noProof/>
                <w:webHidden/>
              </w:rPr>
              <w:instrText xml:space="preserve"> PAGEREF _Toc373104448 \h </w:instrText>
            </w:r>
            <w:r w:rsidR="00CA53F4">
              <w:rPr>
                <w:noProof/>
                <w:webHidden/>
              </w:rPr>
            </w:r>
            <w:r w:rsidR="00CA53F4">
              <w:rPr>
                <w:noProof/>
                <w:webHidden/>
              </w:rPr>
              <w:fldChar w:fldCharType="separate"/>
            </w:r>
            <w:r w:rsidR="00BB4E58">
              <w:rPr>
                <w:noProof/>
                <w:webHidden/>
              </w:rPr>
              <w:t>20</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49" w:history="1">
            <w:r w:rsidR="00CA53F4" w:rsidRPr="00782EA9">
              <w:rPr>
                <w:rStyle w:val="Hyperlink"/>
                <w:noProof/>
              </w:rPr>
              <w:t>19.</w:t>
            </w:r>
            <w:r w:rsidR="00CA53F4">
              <w:rPr>
                <w:rFonts w:eastAsiaTheme="minorEastAsia" w:cstheme="minorBidi"/>
                <w:b w:val="0"/>
                <w:bCs w:val="0"/>
                <w:smallCaps w:val="0"/>
                <w:noProof/>
                <w:lang w:eastAsia="en-AU"/>
              </w:rPr>
              <w:tab/>
            </w:r>
            <w:r w:rsidR="00CA53F4" w:rsidRPr="00782EA9">
              <w:rPr>
                <w:rStyle w:val="Hyperlink"/>
                <w:noProof/>
              </w:rPr>
              <w:t>Completion</w:t>
            </w:r>
            <w:r w:rsidR="00CA53F4">
              <w:rPr>
                <w:noProof/>
                <w:webHidden/>
              </w:rPr>
              <w:tab/>
            </w:r>
            <w:r w:rsidR="00CA53F4">
              <w:rPr>
                <w:noProof/>
                <w:webHidden/>
              </w:rPr>
              <w:fldChar w:fldCharType="begin"/>
            </w:r>
            <w:r w:rsidR="00CA53F4">
              <w:rPr>
                <w:noProof/>
                <w:webHidden/>
              </w:rPr>
              <w:instrText xml:space="preserve"> PAGEREF _Toc373104449 \h </w:instrText>
            </w:r>
            <w:r w:rsidR="00CA53F4">
              <w:rPr>
                <w:noProof/>
                <w:webHidden/>
              </w:rPr>
            </w:r>
            <w:r w:rsidR="00CA53F4">
              <w:rPr>
                <w:noProof/>
                <w:webHidden/>
              </w:rPr>
              <w:fldChar w:fldCharType="separate"/>
            </w:r>
            <w:r w:rsidR="00BB4E58">
              <w:rPr>
                <w:noProof/>
                <w:webHidden/>
              </w:rPr>
              <w:t>21</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50" w:history="1">
            <w:r w:rsidR="00CA53F4" w:rsidRPr="00782EA9">
              <w:rPr>
                <w:rStyle w:val="Hyperlink"/>
                <w:noProof/>
              </w:rPr>
              <w:t>19.1</w:t>
            </w:r>
            <w:r w:rsidR="00CA53F4">
              <w:rPr>
                <w:rFonts w:eastAsiaTheme="minorEastAsia" w:cstheme="minorBidi"/>
                <w:smallCaps w:val="0"/>
                <w:noProof/>
                <w:lang w:eastAsia="en-AU"/>
              </w:rPr>
              <w:tab/>
            </w:r>
            <w:r w:rsidR="00CA53F4" w:rsidRPr="00782EA9">
              <w:rPr>
                <w:rStyle w:val="Hyperlink"/>
                <w:noProof/>
              </w:rPr>
              <w:t>Contract Expiry</w:t>
            </w:r>
            <w:r w:rsidR="00CA53F4">
              <w:rPr>
                <w:noProof/>
                <w:webHidden/>
              </w:rPr>
              <w:tab/>
            </w:r>
            <w:r w:rsidR="00CA53F4">
              <w:rPr>
                <w:noProof/>
                <w:webHidden/>
              </w:rPr>
              <w:fldChar w:fldCharType="begin"/>
            </w:r>
            <w:r w:rsidR="00CA53F4">
              <w:rPr>
                <w:noProof/>
                <w:webHidden/>
              </w:rPr>
              <w:instrText xml:space="preserve"> PAGEREF _Toc373104450 \h </w:instrText>
            </w:r>
            <w:r w:rsidR="00CA53F4">
              <w:rPr>
                <w:noProof/>
                <w:webHidden/>
              </w:rPr>
            </w:r>
            <w:r w:rsidR="00CA53F4">
              <w:rPr>
                <w:noProof/>
                <w:webHidden/>
              </w:rPr>
              <w:fldChar w:fldCharType="separate"/>
            </w:r>
            <w:r w:rsidR="00BB4E58">
              <w:rPr>
                <w:noProof/>
                <w:webHidden/>
              </w:rPr>
              <w:t>21</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51" w:history="1">
            <w:r w:rsidR="00CA53F4" w:rsidRPr="00782EA9">
              <w:rPr>
                <w:rStyle w:val="Hyperlink"/>
                <w:noProof/>
              </w:rPr>
              <w:t>19.2</w:t>
            </w:r>
            <w:r w:rsidR="00CA53F4">
              <w:rPr>
                <w:rFonts w:eastAsiaTheme="minorEastAsia" w:cstheme="minorBidi"/>
                <w:smallCaps w:val="0"/>
                <w:noProof/>
                <w:lang w:eastAsia="en-AU"/>
              </w:rPr>
              <w:tab/>
            </w:r>
            <w:r w:rsidR="00CA53F4" w:rsidRPr="00782EA9">
              <w:rPr>
                <w:rStyle w:val="Hyperlink"/>
                <w:noProof/>
              </w:rPr>
              <w:t>Contract Termination</w:t>
            </w:r>
            <w:r w:rsidR="00CA53F4">
              <w:rPr>
                <w:noProof/>
                <w:webHidden/>
              </w:rPr>
              <w:tab/>
            </w:r>
            <w:r w:rsidR="00CA53F4">
              <w:rPr>
                <w:noProof/>
                <w:webHidden/>
              </w:rPr>
              <w:fldChar w:fldCharType="begin"/>
            </w:r>
            <w:r w:rsidR="00CA53F4">
              <w:rPr>
                <w:noProof/>
                <w:webHidden/>
              </w:rPr>
              <w:instrText xml:space="preserve"> PAGEREF _Toc373104451 \h </w:instrText>
            </w:r>
            <w:r w:rsidR="00CA53F4">
              <w:rPr>
                <w:noProof/>
                <w:webHidden/>
              </w:rPr>
            </w:r>
            <w:r w:rsidR="00CA53F4">
              <w:rPr>
                <w:noProof/>
                <w:webHidden/>
              </w:rPr>
              <w:fldChar w:fldCharType="separate"/>
            </w:r>
            <w:r w:rsidR="00BB4E58">
              <w:rPr>
                <w:noProof/>
                <w:webHidden/>
              </w:rPr>
              <w:t>21</w:t>
            </w:r>
            <w:r w:rsidR="00CA53F4">
              <w:rPr>
                <w:noProof/>
                <w:webHidden/>
              </w:rPr>
              <w:fldChar w:fldCharType="end"/>
            </w:r>
          </w:hyperlink>
        </w:p>
        <w:p w:rsidR="00CA53F4" w:rsidRDefault="009B2E70">
          <w:pPr>
            <w:pStyle w:val="TOC3"/>
            <w:rPr>
              <w:rFonts w:eastAsiaTheme="minorEastAsia" w:cstheme="minorBidi"/>
              <w:smallCaps w:val="0"/>
              <w:noProof/>
              <w:lang w:eastAsia="en-AU"/>
            </w:rPr>
          </w:pPr>
          <w:hyperlink w:anchor="_Toc373104452" w:history="1">
            <w:r w:rsidR="00CA53F4" w:rsidRPr="00782EA9">
              <w:rPr>
                <w:rStyle w:val="Hyperlink"/>
                <w:noProof/>
              </w:rPr>
              <w:t>19.3</w:t>
            </w:r>
            <w:r w:rsidR="00CA53F4">
              <w:rPr>
                <w:rFonts w:eastAsiaTheme="minorEastAsia" w:cstheme="minorBidi"/>
                <w:smallCaps w:val="0"/>
                <w:noProof/>
                <w:lang w:eastAsia="en-AU"/>
              </w:rPr>
              <w:tab/>
            </w:r>
            <w:r w:rsidR="00CA53F4" w:rsidRPr="00782EA9">
              <w:rPr>
                <w:rStyle w:val="Hyperlink"/>
                <w:noProof/>
              </w:rPr>
              <w:t>Repayment of Funding</w:t>
            </w:r>
            <w:r w:rsidR="00CA53F4">
              <w:rPr>
                <w:noProof/>
                <w:webHidden/>
              </w:rPr>
              <w:tab/>
            </w:r>
            <w:r w:rsidR="00CA53F4">
              <w:rPr>
                <w:noProof/>
                <w:webHidden/>
              </w:rPr>
              <w:fldChar w:fldCharType="begin"/>
            </w:r>
            <w:r w:rsidR="00CA53F4">
              <w:rPr>
                <w:noProof/>
                <w:webHidden/>
              </w:rPr>
              <w:instrText xml:space="preserve"> PAGEREF _Toc373104452 \h </w:instrText>
            </w:r>
            <w:r w:rsidR="00CA53F4">
              <w:rPr>
                <w:noProof/>
                <w:webHidden/>
              </w:rPr>
            </w:r>
            <w:r w:rsidR="00CA53F4">
              <w:rPr>
                <w:noProof/>
                <w:webHidden/>
              </w:rPr>
              <w:fldChar w:fldCharType="separate"/>
            </w:r>
            <w:r w:rsidR="00BB4E58">
              <w:rPr>
                <w:noProof/>
                <w:webHidden/>
              </w:rPr>
              <w:t>21</w:t>
            </w:r>
            <w:r w:rsidR="00CA53F4">
              <w:rPr>
                <w:noProof/>
                <w:webHidden/>
              </w:rPr>
              <w:fldChar w:fldCharType="end"/>
            </w:r>
          </w:hyperlink>
        </w:p>
        <w:p w:rsidR="00CA53F4" w:rsidRDefault="009B2E70">
          <w:pPr>
            <w:pStyle w:val="TOC1"/>
            <w:rPr>
              <w:rFonts w:eastAsiaTheme="minorEastAsia" w:cstheme="minorBidi"/>
              <w:b w:val="0"/>
              <w:bCs w:val="0"/>
              <w:caps w:val="0"/>
              <w:lang w:eastAsia="en-AU"/>
            </w:rPr>
          </w:pPr>
          <w:hyperlink w:anchor="_Toc373104453" w:history="1">
            <w:r w:rsidR="00CA53F4" w:rsidRPr="00782EA9">
              <w:rPr>
                <w:rStyle w:val="Hyperlink"/>
              </w:rPr>
              <w:t>Evaluation of Performance</w:t>
            </w:r>
            <w:r w:rsidR="00CA53F4">
              <w:rPr>
                <w:webHidden/>
              </w:rPr>
              <w:tab/>
            </w:r>
            <w:r w:rsidR="00CA53F4">
              <w:rPr>
                <w:webHidden/>
              </w:rPr>
              <w:fldChar w:fldCharType="begin"/>
            </w:r>
            <w:r w:rsidR="00CA53F4">
              <w:rPr>
                <w:webHidden/>
              </w:rPr>
              <w:instrText xml:space="preserve"> PAGEREF _Toc373104453 \h </w:instrText>
            </w:r>
            <w:r w:rsidR="00CA53F4">
              <w:rPr>
                <w:webHidden/>
              </w:rPr>
            </w:r>
            <w:r w:rsidR="00CA53F4">
              <w:rPr>
                <w:webHidden/>
              </w:rPr>
              <w:fldChar w:fldCharType="separate"/>
            </w:r>
            <w:r w:rsidR="00BB4E58">
              <w:rPr>
                <w:webHidden/>
              </w:rPr>
              <w:t>22</w:t>
            </w:r>
            <w:r w:rsidR="00CA53F4">
              <w:rPr>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54" w:history="1">
            <w:r w:rsidR="00CA53F4" w:rsidRPr="00782EA9">
              <w:rPr>
                <w:rStyle w:val="Hyperlink"/>
                <w:noProof/>
              </w:rPr>
              <w:t>20.</w:t>
            </w:r>
            <w:r w:rsidR="00CA53F4">
              <w:rPr>
                <w:rFonts w:eastAsiaTheme="minorEastAsia" w:cstheme="minorBidi"/>
                <w:b w:val="0"/>
                <w:bCs w:val="0"/>
                <w:smallCaps w:val="0"/>
                <w:noProof/>
                <w:lang w:eastAsia="en-AU"/>
              </w:rPr>
              <w:tab/>
            </w:r>
            <w:r w:rsidR="00CA53F4" w:rsidRPr="00782EA9">
              <w:rPr>
                <w:rStyle w:val="Hyperlink"/>
                <w:noProof/>
              </w:rPr>
              <w:t>Data Classification</w:t>
            </w:r>
            <w:r w:rsidR="00CA53F4">
              <w:rPr>
                <w:noProof/>
                <w:webHidden/>
              </w:rPr>
              <w:tab/>
            </w:r>
            <w:r w:rsidR="00CA53F4">
              <w:rPr>
                <w:noProof/>
                <w:webHidden/>
              </w:rPr>
              <w:fldChar w:fldCharType="begin"/>
            </w:r>
            <w:r w:rsidR="00CA53F4">
              <w:rPr>
                <w:noProof/>
                <w:webHidden/>
              </w:rPr>
              <w:instrText xml:space="preserve"> PAGEREF _Toc373104454 \h </w:instrText>
            </w:r>
            <w:r w:rsidR="00CA53F4">
              <w:rPr>
                <w:noProof/>
                <w:webHidden/>
              </w:rPr>
            </w:r>
            <w:r w:rsidR="00CA53F4">
              <w:rPr>
                <w:noProof/>
                <w:webHidden/>
              </w:rPr>
              <w:fldChar w:fldCharType="separate"/>
            </w:r>
            <w:r w:rsidR="00BB4E58">
              <w:rPr>
                <w:noProof/>
                <w:webHidden/>
              </w:rPr>
              <w:t>22</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55" w:history="1">
            <w:r w:rsidR="00CA53F4" w:rsidRPr="00782EA9">
              <w:rPr>
                <w:rStyle w:val="Hyperlink"/>
                <w:noProof/>
              </w:rPr>
              <w:t>21.</w:t>
            </w:r>
            <w:r w:rsidR="00CA53F4">
              <w:rPr>
                <w:rFonts w:eastAsiaTheme="minorEastAsia" w:cstheme="minorBidi"/>
                <w:b w:val="0"/>
                <w:bCs w:val="0"/>
                <w:smallCaps w:val="0"/>
                <w:noProof/>
                <w:lang w:eastAsia="en-AU"/>
              </w:rPr>
              <w:tab/>
            </w:r>
            <w:r w:rsidR="00CA53F4" w:rsidRPr="00782EA9">
              <w:rPr>
                <w:rStyle w:val="Hyperlink"/>
                <w:noProof/>
              </w:rPr>
              <w:t>Performance Data Collection</w:t>
            </w:r>
            <w:r w:rsidR="00CA53F4">
              <w:rPr>
                <w:noProof/>
                <w:webHidden/>
              </w:rPr>
              <w:tab/>
            </w:r>
            <w:r w:rsidR="00CA53F4">
              <w:rPr>
                <w:noProof/>
                <w:webHidden/>
              </w:rPr>
              <w:fldChar w:fldCharType="begin"/>
            </w:r>
            <w:r w:rsidR="00CA53F4">
              <w:rPr>
                <w:noProof/>
                <w:webHidden/>
              </w:rPr>
              <w:instrText xml:space="preserve"> PAGEREF _Toc373104455 \h </w:instrText>
            </w:r>
            <w:r w:rsidR="00CA53F4">
              <w:rPr>
                <w:noProof/>
                <w:webHidden/>
              </w:rPr>
            </w:r>
            <w:r w:rsidR="00CA53F4">
              <w:rPr>
                <w:noProof/>
                <w:webHidden/>
              </w:rPr>
              <w:fldChar w:fldCharType="separate"/>
            </w:r>
            <w:r w:rsidR="00BB4E58">
              <w:rPr>
                <w:noProof/>
                <w:webHidden/>
              </w:rPr>
              <w:t>22</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56" w:history="1">
            <w:r w:rsidR="00CA53F4" w:rsidRPr="00782EA9">
              <w:rPr>
                <w:rStyle w:val="Hyperlink"/>
                <w:noProof/>
              </w:rPr>
              <w:t>22.</w:t>
            </w:r>
            <w:r w:rsidR="00CA53F4">
              <w:rPr>
                <w:rFonts w:eastAsiaTheme="minorEastAsia" w:cstheme="minorBidi"/>
                <w:b w:val="0"/>
                <w:bCs w:val="0"/>
                <w:smallCaps w:val="0"/>
                <w:noProof/>
                <w:lang w:eastAsia="en-AU"/>
              </w:rPr>
              <w:tab/>
            </w:r>
            <w:r w:rsidR="00CA53F4" w:rsidRPr="00782EA9">
              <w:rPr>
                <w:rStyle w:val="Hyperlink"/>
                <w:noProof/>
              </w:rPr>
              <w:t>Performance Data Analysis</w:t>
            </w:r>
            <w:r w:rsidR="00CA53F4">
              <w:rPr>
                <w:noProof/>
                <w:webHidden/>
              </w:rPr>
              <w:tab/>
            </w:r>
            <w:r w:rsidR="00CA53F4">
              <w:rPr>
                <w:noProof/>
                <w:webHidden/>
              </w:rPr>
              <w:fldChar w:fldCharType="begin"/>
            </w:r>
            <w:r w:rsidR="00CA53F4">
              <w:rPr>
                <w:noProof/>
                <w:webHidden/>
              </w:rPr>
              <w:instrText xml:space="preserve"> PAGEREF _Toc373104456 \h </w:instrText>
            </w:r>
            <w:r w:rsidR="00CA53F4">
              <w:rPr>
                <w:noProof/>
                <w:webHidden/>
              </w:rPr>
            </w:r>
            <w:r w:rsidR="00CA53F4">
              <w:rPr>
                <w:noProof/>
                <w:webHidden/>
              </w:rPr>
              <w:fldChar w:fldCharType="separate"/>
            </w:r>
            <w:r w:rsidR="00BB4E58">
              <w:rPr>
                <w:noProof/>
                <w:webHidden/>
              </w:rPr>
              <w:t>23</w:t>
            </w:r>
            <w:r w:rsidR="00CA53F4">
              <w:rPr>
                <w:noProof/>
                <w:webHidden/>
              </w:rPr>
              <w:fldChar w:fldCharType="end"/>
            </w:r>
          </w:hyperlink>
        </w:p>
        <w:p w:rsidR="00CA53F4" w:rsidRDefault="009B2E70">
          <w:pPr>
            <w:pStyle w:val="TOC2"/>
            <w:rPr>
              <w:rFonts w:eastAsiaTheme="minorEastAsia" w:cstheme="minorBidi"/>
              <w:b w:val="0"/>
              <w:bCs w:val="0"/>
              <w:smallCaps w:val="0"/>
              <w:noProof/>
              <w:lang w:eastAsia="en-AU"/>
            </w:rPr>
          </w:pPr>
          <w:hyperlink w:anchor="_Toc373104457" w:history="1">
            <w:r w:rsidR="00CA53F4" w:rsidRPr="00782EA9">
              <w:rPr>
                <w:rStyle w:val="Hyperlink"/>
                <w:noProof/>
              </w:rPr>
              <w:t>23.</w:t>
            </w:r>
            <w:r w:rsidR="00CA53F4">
              <w:rPr>
                <w:rFonts w:eastAsiaTheme="minorEastAsia" w:cstheme="minorBidi"/>
                <w:b w:val="0"/>
                <w:bCs w:val="0"/>
                <w:smallCaps w:val="0"/>
                <w:noProof/>
                <w:lang w:eastAsia="en-AU"/>
              </w:rPr>
              <w:tab/>
            </w:r>
            <w:r w:rsidR="00CA53F4" w:rsidRPr="00782EA9">
              <w:rPr>
                <w:rStyle w:val="Hyperlink"/>
                <w:noProof/>
              </w:rPr>
              <w:t>Estimating Added Value</w:t>
            </w:r>
            <w:r w:rsidR="00CA53F4">
              <w:rPr>
                <w:noProof/>
                <w:webHidden/>
              </w:rPr>
              <w:tab/>
            </w:r>
            <w:r w:rsidR="00CA53F4">
              <w:rPr>
                <w:noProof/>
                <w:webHidden/>
              </w:rPr>
              <w:fldChar w:fldCharType="begin"/>
            </w:r>
            <w:r w:rsidR="00CA53F4">
              <w:rPr>
                <w:noProof/>
                <w:webHidden/>
              </w:rPr>
              <w:instrText xml:space="preserve"> PAGEREF _Toc373104457 \h </w:instrText>
            </w:r>
            <w:r w:rsidR="00CA53F4">
              <w:rPr>
                <w:noProof/>
                <w:webHidden/>
              </w:rPr>
            </w:r>
            <w:r w:rsidR="00CA53F4">
              <w:rPr>
                <w:noProof/>
                <w:webHidden/>
              </w:rPr>
              <w:fldChar w:fldCharType="separate"/>
            </w:r>
            <w:r w:rsidR="00BB4E58">
              <w:rPr>
                <w:noProof/>
                <w:webHidden/>
              </w:rPr>
              <w:t>23</w:t>
            </w:r>
            <w:r w:rsidR="00CA53F4">
              <w:rPr>
                <w:noProof/>
                <w:webHidden/>
              </w:rPr>
              <w:fldChar w:fldCharType="end"/>
            </w:r>
          </w:hyperlink>
        </w:p>
        <w:p w:rsidR="00CA53F4" w:rsidRDefault="009B2E70">
          <w:pPr>
            <w:pStyle w:val="TOC1"/>
            <w:rPr>
              <w:rFonts w:eastAsiaTheme="minorEastAsia" w:cstheme="minorBidi"/>
              <w:b w:val="0"/>
              <w:bCs w:val="0"/>
              <w:caps w:val="0"/>
              <w:lang w:eastAsia="en-AU"/>
            </w:rPr>
          </w:pPr>
          <w:hyperlink w:anchor="_Toc373104458" w:history="1">
            <w:r w:rsidR="00CA53F4" w:rsidRPr="00782EA9">
              <w:rPr>
                <w:rStyle w:val="Hyperlink"/>
              </w:rPr>
              <w:t>Further Reading</w:t>
            </w:r>
            <w:r w:rsidR="00CA53F4">
              <w:rPr>
                <w:webHidden/>
              </w:rPr>
              <w:tab/>
            </w:r>
            <w:r w:rsidR="00CA53F4">
              <w:rPr>
                <w:webHidden/>
              </w:rPr>
              <w:fldChar w:fldCharType="begin"/>
            </w:r>
            <w:r w:rsidR="00CA53F4">
              <w:rPr>
                <w:webHidden/>
              </w:rPr>
              <w:instrText xml:space="preserve"> PAGEREF _Toc373104458 \h </w:instrText>
            </w:r>
            <w:r w:rsidR="00CA53F4">
              <w:rPr>
                <w:webHidden/>
              </w:rPr>
            </w:r>
            <w:r w:rsidR="00CA53F4">
              <w:rPr>
                <w:webHidden/>
              </w:rPr>
              <w:fldChar w:fldCharType="separate"/>
            </w:r>
            <w:r w:rsidR="00BB4E58">
              <w:rPr>
                <w:webHidden/>
              </w:rPr>
              <w:t>24</w:t>
            </w:r>
            <w:r w:rsidR="00CA53F4">
              <w:rPr>
                <w:webHidden/>
              </w:rPr>
              <w:fldChar w:fldCharType="end"/>
            </w:r>
          </w:hyperlink>
        </w:p>
        <w:p w:rsidR="001F4D43" w:rsidRDefault="002B6623" w:rsidP="0059464E">
          <w:pPr>
            <w:pStyle w:val="TOC1"/>
            <w:jc w:val="left"/>
          </w:pPr>
          <w:r>
            <w:fldChar w:fldCharType="end"/>
          </w:r>
        </w:p>
      </w:sdtContent>
    </w:sdt>
    <w:p w:rsidR="005177DB" w:rsidRDefault="005177DB">
      <w:pPr>
        <w:rPr>
          <w:rFonts w:asciiTheme="minorHAnsi" w:hAnsiTheme="minorHAnsi"/>
          <w:b/>
          <w:bCs/>
          <w:caps/>
          <w:noProof/>
        </w:rPr>
        <w:sectPr w:rsidR="005177DB" w:rsidSect="00CE5C20">
          <w:footerReference w:type="default" r:id="rId14"/>
          <w:pgSz w:w="11906" w:h="16838"/>
          <w:pgMar w:top="1758" w:right="1440" w:bottom="1134" w:left="1440" w:header="709" w:footer="680" w:gutter="0"/>
          <w:pgNumType w:fmt="upperRoman" w:start="1"/>
          <w:cols w:space="708"/>
          <w:docGrid w:linePitch="360"/>
        </w:sectPr>
      </w:pPr>
    </w:p>
    <w:p w:rsidR="001C0FB0" w:rsidRDefault="00934811" w:rsidP="009265D0">
      <w:pPr>
        <w:pStyle w:val="Heading1"/>
      </w:pPr>
      <w:bookmarkStart w:id="2" w:name="_Toc373104404"/>
      <w:r>
        <w:lastRenderedPageBreak/>
        <w:t xml:space="preserve">List of </w:t>
      </w:r>
      <w:r w:rsidR="00091DF8">
        <w:t>Acronyms</w:t>
      </w:r>
      <w:bookmarkEnd w:id="2"/>
    </w:p>
    <w:p w:rsidR="00627617" w:rsidRDefault="00627617" w:rsidP="00AD0A22">
      <w:pPr>
        <w:sectPr w:rsidR="00627617" w:rsidSect="00CE5C20">
          <w:headerReference w:type="default" r:id="rId15"/>
          <w:pgSz w:w="11906" w:h="16838"/>
          <w:pgMar w:top="1758" w:right="1440" w:bottom="1134" w:left="1440" w:header="709" w:footer="680" w:gutter="0"/>
          <w:pgNumType w:fmt="upperRoman" w:start="1"/>
          <w:cols w:space="708"/>
          <w:docGrid w:linePitch="360"/>
        </w:sectPr>
      </w:pPr>
    </w:p>
    <w:p w:rsidR="00556935" w:rsidRDefault="00556935" w:rsidP="003E2F13">
      <w:pPr>
        <w:pStyle w:val="Abbreviations"/>
      </w:pPr>
    </w:p>
    <w:p w:rsidR="00CE5C20" w:rsidRDefault="00CE5C20" w:rsidP="003E2F13">
      <w:pPr>
        <w:pStyle w:val="Abbreviations"/>
      </w:pPr>
      <w:r>
        <w:t>ABN</w:t>
      </w:r>
      <w:r>
        <w:tab/>
        <w:t>Australian Business Number</w:t>
      </w:r>
    </w:p>
    <w:p w:rsidR="00CE5C20" w:rsidRDefault="00CE5C20" w:rsidP="003E2F13">
      <w:pPr>
        <w:pStyle w:val="Abbreviations"/>
      </w:pPr>
      <w:r>
        <w:t>ABR</w:t>
      </w:r>
      <w:r>
        <w:tab/>
        <w:t>Australian Business Register</w:t>
      </w:r>
    </w:p>
    <w:p w:rsidR="009C7C40" w:rsidRDefault="009C7C40" w:rsidP="003E2F13">
      <w:pPr>
        <w:pStyle w:val="Abbreviations"/>
      </w:pPr>
      <w:r>
        <w:t>ACN</w:t>
      </w:r>
      <w:r>
        <w:tab/>
        <w:t>Australian Company Number</w:t>
      </w:r>
    </w:p>
    <w:p w:rsidR="00CE5C20" w:rsidRDefault="00CE5C20" w:rsidP="003E2F13">
      <w:pPr>
        <w:pStyle w:val="Abbreviations"/>
      </w:pPr>
      <w:r>
        <w:t>ACNC</w:t>
      </w:r>
      <w:r>
        <w:tab/>
        <w:t>Australian Charities and Not-for-profits Commission</w:t>
      </w:r>
    </w:p>
    <w:p w:rsidR="00513C55" w:rsidRDefault="00513C55" w:rsidP="003E2F13">
      <w:pPr>
        <w:pStyle w:val="Abbreviations"/>
      </w:pPr>
      <w:r>
        <w:t>AFS</w:t>
      </w:r>
      <w:r>
        <w:tab/>
        <w:t>Audited Financial Statement</w:t>
      </w:r>
    </w:p>
    <w:p w:rsidR="00CE5C20" w:rsidRPr="003E2F13" w:rsidRDefault="00CE5C20" w:rsidP="003E2F13">
      <w:pPr>
        <w:pStyle w:val="Abbreviations"/>
      </w:pPr>
      <w:r w:rsidRPr="003E2F13">
        <w:t>ANAO</w:t>
      </w:r>
      <w:r w:rsidRPr="003E2F13">
        <w:tab/>
        <w:t>Australian National Audit Office</w:t>
      </w:r>
    </w:p>
    <w:p w:rsidR="00CA1395" w:rsidRDefault="00CA1395" w:rsidP="003E2F13">
      <w:pPr>
        <w:pStyle w:val="Abbreviations"/>
      </w:pPr>
      <w:r>
        <w:t>ASR</w:t>
      </w:r>
      <w:r>
        <w:tab/>
        <w:t>Assessor/s</w:t>
      </w:r>
    </w:p>
    <w:p w:rsidR="001F4D43" w:rsidRDefault="001F4D43" w:rsidP="003E2F13">
      <w:pPr>
        <w:pStyle w:val="Abbreviations"/>
      </w:pPr>
      <w:r>
        <w:t>ATO</w:t>
      </w:r>
      <w:r>
        <w:tab/>
        <w:t>Australia Taxation Office</w:t>
      </w:r>
    </w:p>
    <w:p w:rsidR="001F4D43" w:rsidRDefault="001F4D43" w:rsidP="003E2F13">
      <w:pPr>
        <w:pStyle w:val="Abbreviations"/>
      </w:pPr>
      <w:r>
        <w:t>CGG</w:t>
      </w:r>
      <w:r>
        <w:tab/>
        <w:t>Commonwealth Grant Guidelines</w:t>
      </w:r>
    </w:p>
    <w:p w:rsidR="00CE5C20" w:rsidRDefault="00CE5C20" w:rsidP="003E2F13">
      <w:pPr>
        <w:pStyle w:val="Abbreviations"/>
      </w:pPr>
      <w:r>
        <w:t>COAG</w:t>
      </w:r>
      <w:r>
        <w:tab/>
        <w:t>Council of Australian Governments</w:t>
      </w:r>
    </w:p>
    <w:p w:rsidR="00CE5C20" w:rsidRDefault="00CE5C20" w:rsidP="003E2F13">
      <w:pPr>
        <w:pStyle w:val="Abbreviations"/>
      </w:pPr>
      <w:r>
        <w:t>CTH</w:t>
      </w:r>
      <w:r>
        <w:tab/>
        <w:t>Commonwealth of Australia</w:t>
      </w:r>
    </w:p>
    <w:p w:rsidR="003B3013" w:rsidRDefault="003B3013" w:rsidP="003E2F13">
      <w:pPr>
        <w:pStyle w:val="Abbreviations"/>
      </w:pPr>
      <w:r>
        <w:t>DEL</w:t>
      </w:r>
      <w:r>
        <w:tab/>
        <w:t>Delegate</w:t>
      </w:r>
    </w:p>
    <w:p w:rsidR="00CE5C20" w:rsidRDefault="0090447A" w:rsidP="003E2F13">
      <w:pPr>
        <w:pStyle w:val="Abbreviations"/>
      </w:pPr>
      <w:r>
        <w:t>ESP</w:t>
      </w:r>
      <w:r>
        <w:tab/>
        <w:t>External Service Provider</w:t>
      </w:r>
    </w:p>
    <w:p w:rsidR="00F66AB0" w:rsidRDefault="00F66AB0" w:rsidP="003E2F13">
      <w:pPr>
        <w:pStyle w:val="Abbreviations"/>
      </w:pPr>
      <w:r>
        <w:t>FAS</w:t>
      </w:r>
      <w:r>
        <w:tab/>
        <w:t>Financial Acquittal Statement</w:t>
      </w:r>
    </w:p>
    <w:p w:rsidR="001F4D43" w:rsidRDefault="001F4D43" w:rsidP="003E2F13">
      <w:pPr>
        <w:pStyle w:val="Abbreviations"/>
      </w:pPr>
      <w:r>
        <w:t>FC</w:t>
      </w:r>
      <w:r>
        <w:tab/>
        <w:t>Funding Contract</w:t>
      </w:r>
    </w:p>
    <w:p w:rsidR="00556935" w:rsidRDefault="00556935" w:rsidP="003E2F13">
      <w:pPr>
        <w:pStyle w:val="Abbreviations"/>
      </w:pPr>
      <w:r>
        <w:br w:type="column"/>
      </w:r>
    </w:p>
    <w:p w:rsidR="00031B58" w:rsidRDefault="00031B58" w:rsidP="003E2F13">
      <w:pPr>
        <w:pStyle w:val="Abbreviations"/>
      </w:pPr>
      <w:r>
        <w:t>FMA</w:t>
      </w:r>
      <w:r>
        <w:tab/>
        <w:t xml:space="preserve">Northern Territory Financial Management Act 1995 </w:t>
      </w:r>
    </w:p>
    <w:p w:rsidR="001F4D43" w:rsidRDefault="001F4D43" w:rsidP="003E2F13">
      <w:pPr>
        <w:pStyle w:val="Abbreviations"/>
      </w:pPr>
      <w:r>
        <w:t>FOI</w:t>
      </w:r>
      <w:r>
        <w:tab/>
        <w:t>Freedom of Information</w:t>
      </w:r>
    </w:p>
    <w:p w:rsidR="00556935" w:rsidRDefault="00556935" w:rsidP="003E2F13">
      <w:pPr>
        <w:pStyle w:val="Abbreviations"/>
      </w:pPr>
      <w:r>
        <w:t>GAU</w:t>
      </w:r>
      <w:r>
        <w:tab/>
        <w:t>Grants Administration Unit</w:t>
      </w:r>
    </w:p>
    <w:p w:rsidR="00B04083" w:rsidRDefault="002A21B0" w:rsidP="003E2F13">
      <w:pPr>
        <w:pStyle w:val="Abbreviations"/>
      </w:pPr>
      <w:r>
        <w:t>GMF</w:t>
      </w:r>
      <w:r>
        <w:tab/>
      </w:r>
      <w:r w:rsidR="00B04083">
        <w:t>Grants Management Framework</w:t>
      </w:r>
    </w:p>
    <w:p w:rsidR="00CE5C20" w:rsidRDefault="00CE5C20" w:rsidP="003E2F13">
      <w:pPr>
        <w:pStyle w:val="Abbreviations"/>
      </w:pPr>
      <w:r>
        <w:t>GST</w:t>
      </w:r>
      <w:r>
        <w:tab/>
        <w:t>Goods and Services Tax</w:t>
      </w:r>
    </w:p>
    <w:p w:rsidR="00CE5C20" w:rsidRPr="00EE42A7" w:rsidRDefault="00CE5C20" w:rsidP="003E2F13">
      <w:pPr>
        <w:pStyle w:val="Abbreviations"/>
      </w:pPr>
      <w:r w:rsidRPr="00EE42A7">
        <w:t>NFP</w:t>
      </w:r>
      <w:r w:rsidRPr="00EE42A7">
        <w:tab/>
        <w:t>Not-for-Profit Organisation</w:t>
      </w:r>
    </w:p>
    <w:p w:rsidR="00CE5C20" w:rsidRDefault="002A21B0" w:rsidP="003E2F13">
      <w:pPr>
        <w:pStyle w:val="Abbreviations"/>
      </w:pPr>
      <w:r w:rsidRPr="00EE42A7">
        <w:t>NT</w:t>
      </w:r>
      <w:r w:rsidR="00CE5C20" w:rsidRPr="00EE42A7">
        <w:t>CS</w:t>
      </w:r>
      <w:r w:rsidR="00CE5C20" w:rsidRPr="00EE42A7">
        <w:tab/>
      </w:r>
      <w:r w:rsidRPr="00EE42A7">
        <w:t>Northern Territory</w:t>
      </w:r>
      <w:r w:rsidR="00CE5C20" w:rsidRPr="00EE42A7">
        <w:t xml:space="preserve"> Correctional Services</w:t>
      </w:r>
    </w:p>
    <w:p w:rsidR="00CE5C20" w:rsidRDefault="00CE5C20" w:rsidP="003E2F13">
      <w:pPr>
        <w:pStyle w:val="Abbreviations"/>
      </w:pPr>
      <w:r>
        <w:t>NTG</w:t>
      </w:r>
      <w:r>
        <w:tab/>
        <w:t>Northern Territory Government</w:t>
      </w:r>
    </w:p>
    <w:p w:rsidR="00F66AB0" w:rsidRDefault="00F66AB0" w:rsidP="003E2F13">
      <w:pPr>
        <w:pStyle w:val="Abbreviations"/>
      </w:pPr>
      <w:r>
        <w:t>PFR</w:t>
      </w:r>
      <w:r>
        <w:tab/>
        <w:t>Performance Report</w:t>
      </w:r>
    </w:p>
    <w:p w:rsidR="003B3013" w:rsidRDefault="00C31E2F" w:rsidP="003E2F13">
      <w:pPr>
        <w:pStyle w:val="Abbreviations"/>
      </w:pPr>
      <w:r>
        <w:t>PG</w:t>
      </w:r>
      <w:r w:rsidR="003B3013">
        <w:t>O</w:t>
      </w:r>
      <w:r w:rsidR="003B3013">
        <w:tab/>
        <w:t xml:space="preserve">Principal </w:t>
      </w:r>
      <w:r>
        <w:t>Grant</w:t>
      </w:r>
      <w:r w:rsidR="003B3013">
        <w:t xml:space="preserve"> Officer</w:t>
      </w:r>
    </w:p>
    <w:p w:rsidR="00CA1395" w:rsidRDefault="00CA1395" w:rsidP="003E2F13">
      <w:pPr>
        <w:pStyle w:val="Abbreviations"/>
      </w:pPr>
      <w:r>
        <w:t>REV</w:t>
      </w:r>
      <w:r>
        <w:tab/>
        <w:t>Reviewer</w:t>
      </w:r>
    </w:p>
    <w:p w:rsidR="00DD326B" w:rsidRDefault="00DD326B" w:rsidP="003E2F13">
      <w:pPr>
        <w:pStyle w:val="Abbreviations"/>
      </w:pPr>
      <w:r>
        <w:t>SOR</w:t>
      </w:r>
      <w:r>
        <w:tab/>
        <w:t>Statement of Requirements</w:t>
      </w:r>
    </w:p>
    <w:p w:rsidR="00004739" w:rsidRDefault="00CE5C20" w:rsidP="00C22D79">
      <w:pPr>
        <w:pStyle w:val="Abbreviations"/>
      </w:pPr>
      <w:r>
        <w:t>SCOA</w:t>
      </w:r>
      <w:r>
        <w:tab/>
        <w:t>National Standard Chart of Accounts and Data Dictionary</w:t>
      </w:r>
    </w:p>
    <w:p w:rsidR="001C0FB0" w:rsidRDefault="001C0FB0" w:rsidP="00AD0A22"/>
    <w:p w:rsidR="00BB10B8" w:rsidRDefault="00BB10B8" w:rsidP="00AD0A22">
      <w:pPr>
        <w:sectPr w:rsidR="00BB10B8" w:rsidSect="00627617">
          <w:type w:val="continuous"/>
          <w:pgSz w:w="11906" w:h="16838"/>
          <w:pgMar w:top="1758" w:right="1440" w:bottom="1134" w:left="1440" w:header="709" w:footer="709" w:gutter="0"/>
          <w:pgNumType w:fmt="upperRoman" w:start="1"/>
          <w:cols w:num="2" w:space="708"/>
          <w:docGrid w:linePitch="360"/>
        </w:sectPr>
      </w:pPr>
    </w:p>
    <w:p w:rsidR="00097FC2" w:rsidRPr="0003029E" w:rsidRDefault="009C43CD" w:rsidP="00B6581B">
      <w:pPr>
        <w:pStyle w:val="TOCHeading"/>
      </w:pPr>
      <w:bookmarkStart w:id="3" w:name="_Toc373104405"/>
      <w:r>
        <w:lastRenderedPageBreak/>
        <w:t>INtroduction</w:t>
      </w:r>
      <w:bookmarkEnd w:id="3"/>
    </w:p>
    <w:p w:rsidR="00082E7B" w:rsidRDefault="009630DC" w:rsidP="00082E7B">
      <w:r>
        <w:t>Over the p</w:t>
      </w:r>
      <w:r w:rsidR="00B652D3">
        <w:t>ast decade there has been a significant shift in how governments across Aus</w:t>
      </w:r>
      <w:r>
        <w:t xml:space="preserve">tralia provide benefits to the </w:t>
      </w:r>
      <w:r w:rsidR="00B652D3">
        <w:t xml:space="preserve">community, with third parties increasingly </w:t>
      </w:r>
      <w:r>
        <w:t xml:space="preserve">being engaged to </w:t>
      </w:r>
      <w:r w:rsidR="00B652D3">
        <w:t xml:space="preserve">deliver services on behalf of the public sector.  </w:t>
      </w:r>
      <w:r w:rsidR="00AD18A0">
        <w:t>The nature of these arrangements can broadly be categorised into four relationship types</w:t>
      </w:r>
      <w:r w:rsidR="00082E7B">
        <w:t>:</w:t>
      </w:r>
      <w:r w:rsidR="00AD18A0">
        <w:t xml:space="preserve"> government funded services which are client-directed</w:t>
      </w:r>
      <w:r w:rsidR="00575D0A">
        <w:t xml:space="preserve"> and individualised;</w:t>
      </w:r>
      <w:r w:rsidR="00AD18A0">
        <w:t xml:space="preserve"> </w:t>
      </w:r>
      <w:r w:rsidR="00575D0A">
        <w:t>collaborative, joint ventures;</w:t>
      </w:r>
      <w:r w:rsidR="00AD18A0">
        <w:t xml:space="preserve"> </w:t>
      </w:r>
      <w:r w:rsidR="00575D0A">
        <w:t>purchase of service contracting, including competitive and negotiated tendering (</w:t>
      </w:r>
      <w:r w:rsidR="00AD18A0">
        <w:t xml:space="preserve">the </w:t>
      </w:r>
      <w:r w:rsidR="00575D0A">
        <w:t>‘</w:t>
      </w:r>
      <w:r w:rsidR="00AD18A0">
        <w:t>purchaser-provider</w:t>
      </w:r>
      <w:r w:rsidR="00575D0A">
        <w:t>’</w:t>
      </w:r>
      <w:r w:rsidR="00AD18A0">
        <w:t xml:space="preserve"> model</w:t>
      </w:r>
      <w:r w:rsidR="00575D0A">
        <w:t>); and service delivery through</w:t>
      </w:r>
      <w:r w:rsidR="00AD18A0">
        <w:t xml:space="preserve"> </w:t>
      </w:r>
      <w:r w:rsidR="00B652D3">
        <w:t xml:space="preserve">operational grants.  </w:t>
      </w:r>
      <w:r w:rsidR="00082E7B">
        <w:t xml:space="preserve">The focus of this document is on the </w:t>
      </w:r>
      <w:r w:rsidR="00D62F18">
        <w:t>last of these</w:t>
      </w:r>
      <w:r w:rsidR="00082E7B">
        <w:t xml:space="preserve"> – but bearing in mind that </w:t>
      </w:r>
      <w:r w:rsidR="00B84F67">
        <w:t>government</w:t>
      </w:r>
      <w:r w:rsidR="00082E7B">
        <w:t xml:space="preserve"> practice</w:t>
      </w:r>
      <w:r w:rsidR="00B84F67">
        <w:t xml:space="preserve"> has </w:t>
      </w:r>
      <w:r w:rsidR="00AD555E">
        <w:t xml:space="preserve">steadily exhibited a tendency to operationally converge </w:t>
      </w:r>
      <w:r w:rsidR="00082E7B">
        <w:t xml:space="preserve">purchaser-provider and grants </w:t>
      </w:r>
      <w:r w:rsidR="00B84F67">
        <w:t xml:space="preserve">funding </w:t>
      </w:r>
      <w:r w:rsidR="008274B6">
        <w:t>paradigms.</w:t>
      </w:r>
    </w:p>
    <w:p w:rsidR="00E013D5" w:rsidRDefault="008B4F5A" w:rsidP="00E013D5">
      <w:r>
        <w:t xml:space="preserve">Traditionally, grants were structured as ‘input focussed’, whereby funding by government was provided with no </w:t>
      </w:r>
      <w:r w:rsidR="0035641C">
        <w:t>necessary</w:t>
      </w:r>
      <w:r w:rsidR="00EA30BA">
        <w:t xml:space="preserve"> </w:t>
      </w:r>
      <w:r>
        <w:t xml:space="preserve">expectation of a benefit in return.  </w:t>
      </w:r>
      <w:r w:rsidR="00817B0C">
        <w:t>M</w:t>
      </w:r>
      <w:r>
        <w:t xml:space="preserve">ore grants are </w:t>
      </w:r>
      <w:r w:rsidR="00114D2B">
        <w:t xml:space="preserve">now </w:t>
      </w:r>
      <w:r>
        <w:t xml:space="preserve">arranged however as ‘output focussed’, such that government funding is provided </w:t>
      </w:r>
      <w:r w:rsidRPr="00DE299D">
        <w:rPr>
          <w:i/>
        </w:rPr>
        <w:t>on condition of delivery of a service on behalf of government</w:t>
      </w:r>
      <w:r>
        <w:t xml:space="preserve">.  This shift, accompanied by the </w:t>
      </w:r>
      <w:r w:rsidR="00805C7A">
        <w:t xml:space="preserve">aforementioned </w:t>
      </w:r>
      <w:r>
        <w:t>converg</w:t>
      </w:r>
      <w:r w:rsidR="00805C7A">
        <w:t xml:space="preserve">ence, means that there is a heightened necessity for grants funding to be subject to </w:t>
      </w:r>
      <w:r w:rsidR="00BD08CD">
        <w:t>fuller</w:t>
      </w:r>
      <w:r w:rsidR="00805C7A">
        <w:t xml:space="preserve"> accountability mechanisms</w:t>
      </w:r>
      <w:r w:rsidR="00E013D5">
        <w:t>; grants programs involve the</w:t>
      </w:r>
      <w:r w:rsidR="00B652D3">
        <w:t xml:space="preserve"> </w:t>
      </w:r>
      <w:r w:rsidR="00B652D3" w:rsidRPr="00DE299D">
        <w:rPr>
          <w:i/>
        </w:rPr>
        <w:t>expenditure of public funds</w:t>
      </w:r>
      <w:r w:rsidR="00E013D5" w:rsidRPr="00DE299D">
        <w:rPr>
          <w:i/>
        </w:rPr>
        <w:t xml:space="preserve"> for the principal benefit of public beneficiaries</w:t>
      </w:r>
      <w:r w:rsidR="00E013D5">
        <w:t xml:space="preserve"> – not primarily grant recipients as was once the case.  </w:t>
      </w:r>
    </w:p>
    <w:p w:rsidR="004F5A93" w:rsidRPr="00EE42A7" w:rsidRDefault="00672158" w:rsidP="00AD0A22">
      <w:r>
        <w:t>This contemporary interpretation of the operational grants model has numerous</w:t>
      </w:r>
      <w:r w:rsidR="00DE299D">
        <w:t xml:space="preserve"> strengths, and </w:t>
      </w:r>
      <w:r>
        <w:t>can be</w:t>
      </w:r>
      <w:r w:rsidR="008B4F5A">
        <w:t xml:space="preserve"> an effective form of service delivery if managed well.  </w:t>
      </w:r>
      <w:r>
        <w:t xml:space="preserve">The purpose of this </w:t>
      </w:r>
      <w:r w:rsidRPr="00EE42A7">
        <w:t xml:space="preserve">document is to guide that management process.  </w:t>
      </w:r>
      <w:r w:rsidR="004F5A93" w:rsidRPr="00EE42A7">
        <w:t>It endeavours to:</w:t>
      </w:r>
    </w:p>
    <w:p w:rsidR="004F5A93" w:rsidRPr="00EE42A7" w:rsidRDefault="004F5A93" w:rsidP="004F5A93">
      <w:pPr>
        <w:pStyle w:val="ListParagraph"/>
        <w:numPr>
          <w:ilvl w:val="0"/>
          <w:numId w:val="9"/>
        </w:numPr>
      </w:pPr>
      <w:r w:rsidRPr="00EE42A7">
        <w:t>Detail</w:t>
      </w:r>
      <w:r w:rsidR="00AD0A22" w:rsidRPr="00EE42A7">
        <w:t xml:space="preserve"> best practice in grants management</w:t>
      </w:r>
      <w:r w:rsidR="002A21B0" w:rsidRPr="00EE42A7">
        <w:t xml:space="preserve"> for NT</w:t>
      </w:r>
      <w:r w:rsidRPr="00EE42A7">
        <w:t>CS</w:t>
      </w:r>
      <w:r w:rsidR="00AD0A22" w:rsidRPr="00EE42A7">
        <w:t xml:space="preserve">, </w:t>
      </w:r>
      <w:r w:rsidRPr="00EE42A7">
        <w:t xml:space="preserve">consistent with legislative requirements and recognised Australian guidelines; </w:t>
      </w:r>
    </w:p>
    <w:p w:rsidR="004F5A93" w:rsidRPr="00EE42A7" w:rsidRDefault="004F5A93" w:rsidP="00B6581B">
      <w:pPr>
        <w:pStyle w:val="ListParagraph"/>
        <w:numPr>
          <w:ilvl w:val="0"/>
          <w:numId w:val="9"/>
        </w:numPr>
      </w:pPr>
      <w:r w:rsidRPr="00EE42A7">
        <w:t xml:space="preserve">Describe </w:t>
      </w:r>
      <w:r w:rsidR="00AD0A22" w:rsidRPr="00EE42A7">
        <w:t xml:space="preserve">processes for appropriate management, accountability and control arrangements over the </w:t>
      </w:r>
      <w:r w:rsidR="007028D9" w:rsidRPr="00EE42A7">
        <w:t xml:space="preserve">design, </w:t>
      </w:r>
      <w:r w:rsidR="00BB6B4E" w:rsidRPr="00EE42A7">
        <w:t xml:space="preserve">implementation, </w:t>
      </w:r>
      <w:r w:rsidR="00AD0A22" w:rsidRPr="00EE42A7">
        <w:t xml:space="preserve">payment, ongoing monitoring, </w:t>
      </w:r>
      <w:r w:rsidR="00BB6B4E" w:rsidRPr="00EE42A7">
        <w:t xml:space="preserve">acquittal, and evaluation </w:t>
      </w:r>
      <w:r w:rsidRPr="00EE42A7">
        <w:t>of grants; and ultimately</w:t>
      </w:r>
    </w:p>
    <w:p w:rsidR="00AD0A22" w:rsidRPr="00EE42A7" w:rsidRDefault="00A36DD9" w:rsidP="00B6581B">
      <w:pPr>
        <w:pStyle w:val="ListParagraph"/>
        <w:numPr>
          <w:ilvl w:val="0"/>
          <w:numId w:val="9"/>
        </w:numPr>
      </w:pPr>
      <w:r w:rsidRPr="00EE42A7">
        <w:t>P</w:t>
      </w:r>
      <w:r w:rsidR="002A21B0" w:rsidRPr="00EE42A7">
        <w:t>rovide guidance to all NT</w:t>
      </w:r>
      <w:r w:rsidR="004F5A93" w:rsidRPr="00EE42A7">
        <w:t>CS staff</w:t>
      </w:r>
      <w:r w:rsidR="002B2FA4" w:rsidRPr="00EE42A7">
        <w:t>,</w:t>
      </w:r>
      <w:r w:rsidRPr="00EE42A7">
        <w:t xml:space="preserve"> to facilitate a shared understanding of</w:t>
      </w:r>
      <w:r w:rsidR="004F5A93" w:rsidRPr="00EE42A7">
        <w:t xml:space="preserve"> </w:t>
      </w:r>
      <w:r w:rsidR="00AD0A22" w:rsidRPr="00EE42A7">
        <w:t xml:space="preserve">the key principles and policies </w:t>
      </w:r>
      <w:r w:rsidR="004F5A93" w:rsidRPr="00EE42A7">
        <w:t xml:space="preserve">which should underpin end-to-end grants management.  </w:t>
      </w:r>
    </w:p>
    <w:p w:rsidR="00357508" w:rsidRDefault="00B04083" w:rsidP="00807B8A">
      <w:r w:rsidRPr="00EE42A7">
        <w:t xml:space="preserve">This Grants Management Framework (GMF) has been </w:t>
      </w:r>
      <w:r w:rsidR="0091326B" w:rsidRPr="00EE42A7">
        <w:t xml:space="preserve">authored as a specialist document which </w:t>
      </w:r>
      <w:r w:rsidR="002B2FA4" w:rsidRPr="00EE42A7">
        <w:t xml:space="preserve">seeks to </w:t>
      </w:r>
      <w:r w:rsidR="000E57D3" w:rsidRPr="00EE42A7">
        <w:t xml:space="preserve">succinctly </w:t>
      </w:r>
      <w:r w:rsidR="0091326B" w:rsidRPr="00EE42A7">
        <w:t>a</w:t>
      </w:r>
      <w:r w:rsidR="002B2FA4" w:rsidRPr="00EE42A7">
        <w:t>rticulate</w:t>
      </w:r>
      <w:r w:rsidR="0091326B" w:rsidRPr="00EE42A7">
        <w:t xml:space="preserve"> principles and policies that are </w:t>
      </w:r>
      <w:r w:rsidR="000E57D3" w:rsidRPr="00EE42A7">
        <w:t>of direct relevance</w:t>
      </w:r>
      <w:r w:rsidR="002A21B0" w:rsidRPr="00EE42A7">
        <w:t xml:space="preserve"> to NT</w:t>
      </w:r>
      <w:r w:rsidR="0091326B" w:rsidRPr="00EE42A7">
        <w:t>CS, bearing in mind the particulars of its business objectives and capabilities.  Accordingly</w:t>
      </w:r>
      <w:r w:rsidR="006A511C" w:rsidRPr="00EE42A7">
        <w:t xml:space="preserve"> it is</w:t>
      </w:r>
      <w:r w:rsidR="0091326B" w:rsidRPr="00EE42A7">
        <w:t xml:space="preserve"> not </w:t>
      </w:r>
      <w:r w:rsidR="0035641C" w:rsidRPr="00EE42A7">
        <w:t>absolute or</w:t>
      </w:r>
      <w:r w:rsidR="00D62F18" w:rsidRPr="00EE42A7">
        <w:t xml:space="preserve"> </w:t>
      </w:r>
      <w:r w:rsidR="0091326B" w:rsidRPr="00EE42A7">
        <w:t>exhaustive; a wide range of literature considering all aspects of grants funding and administration is available for further</w:t>
      </w:r>
      <w:r w:rsidR="00874120" w:rsidRPr="00EE42A7">
        <w:t>, in-depth</w:t>
      </w:r>
      <w:r w:rsidR="0091326B" w:rsidRPr="00EE42A7">
        <w:t xml:space="preserve"> reference.  </w:t>
      </w:r>
      <w:r w:rsidR="00874120" w:rsidRPr="00EE42A7">
        <w:t>T</w:t>
      </w:r>
      <w:r w:rsidR="006A511C" w:rsidRPr="00EE42A7">
        <w:t xml:space="preserve">he GMF is </w:t>
      </w:r>
      <w:r w:rsidR="00874120" w:rsidRPr="00EE42A7">
        <w:t xml:space="preserve">however, </w:t>
      </w:r>
      <w:r w:rsidR="006A511C" w:rsidRPr="00EE42A7">
        <w:t xml:space="preserve">intended to be </w:t>
      </w:r>
      <w:r w:rsidR="00B7201A" w:rsidRPr="00EE42A7">
        <w:t xml:space="preserve">sufficiently </w:t>
      </w:r>
      <w:r w:rsidR="006A511C" w:rsidRPr="00EE42A7">
        <w:t xml:space="preserve">comprehensive and detailed to provide its </w:t>
      </w:r>
      <w:r w:rsidR="00963097" w:rsidRPr="00EE42A7">
        <w:t>readership</w:t>
      </w:r>
      <w:r w:rsidR="006A511C">
        <w:t xml:space="preserve"> with </w:t>
      </w:r>
      <w:r w:rsidR="00B7201A">
        <w:t>all</w:t>
      </w:r>
      <w:r w:rsidR="006A511C">
        <w:t xml:space="preserve"> necessary guidance </w:t>
      </w:r>
      <w:r w:rsidR="001A3FC0">
        <w:t xml:space="preserve">to </w:t>
      </w:r>
      <w:r w:rsidR="000B77AE">
        <w:t xml:space="preserve">understand, and </w:t>
      </w:r>
      <w:r w:rsidR="001A3FC0">
        <w:t xml:space="preserve">act in accordance with best practice in grants management.  </w:t>
      </w:r>
    </w:p>
    <w:p w:rsidR="00C06046" w:rsidRDefault="00AB1A2B">
      <w:r>
        <w:t>The remainder of this document</w:t>
      </w:r>
      <w:r w:rsidR="00C06046">
        <w:t xml:space="preserve"> is divided into two parts.  Part A broadly seeks to provide guidance on the </w:t>
      </w:r>
      <w:r w:rsidR="00C06046" w:rsidRPr="00C06046">
        <w:rPr>
          <w:i/>
        </w:rPr>
        <w:t>principles</w:t>
      </w:r>
      <w:r w:rsidR="00C06046">
        <w:t xml:space="preserve"> underpinning good grants management, describing the legal and definitional framework and principles for best practice within which grants should be situated.  Part B then </w:t>
      </w:r>
      <w:r w:rsidR="000E03C2">
        <w:t>builds</w:t>
      </w:r>
      <w:r w:rsidR="00C06046">
        <w:t xml:space="preserve"> upon these principles, to provide more </w:t>
      </w:r>
      <w:r w:rsidR="000E03C2">
        <w:t>succinct</w:t>
      </w:r>
      <w:r w:rsidR="00C06046">
        <w:t xml:space="preserve"> </w:t>
      </w:r>
      <w:r w:rsidR="008D615F">
        <w:t xml:space="preserve">and practical </w:t>
      </w:r>
      <w:r w:rsidR="00C06046" w:rsidRPr="00C06046">
        <w:rPr>
          <w:i/>
        </w:rPr>
        <w:t>policy</w:t>
      </w:r>
      <w:r w:rsidR="00C06046">
        <w:t xml:space="preserve"> guidance on establishing a grant project, dealing with applications </w:t>
      </w:r>
      <w:r w:rsidR="003B5271">
        <w:t>for funding, administration of F</w:t>
      </w:r>
      <w:r w:rsidR="00C06046">
        <w:t xml:space="preserve">unding </w:t>
      </w:r>
      <w:r w:rsidR="003B5271">
        <w:t>C</w:t>
      </w:r>
      <w:r w:rsidR="00C06046">
        <w:t xml:space="preserve">ontracts, and evaluation of performance.  </w:t>
      </w:r>
    </w:p>
    <w:p w:rsidR="00357508" w:rsidRDefault="00357508">
      <w:r>
        <w:br w:type="page"/>
      </w:r>
    </w:p>
    <w:p w:rsidR="00CF5E99" w:rsidRPr="00B6581B" w:rsidRDefault="009A4C72" w:rsidP="00B6581B">
      <w:pPr>
        <w:pStyle w:val="Heading1"/>
      </w:pPr>
      <w:bookmarkStart w:id="4" w:name="_Toc373104406"/>
      <w:r>
        <w:lastRenderedPageBreak/>
        <w:t>Legal and definitional Framework</w:t>
      </w:r>
      <w:bookmarkEnd w:id="4"/>
    </w:p>
    <w:p w:rsidR="00DE563D" w:rsidRPr="00FB0F85" w:rsidRDefault="00CA2350" w:rsidP="00FB0F85">
      <w:pPr>
        <w:pStyle w:val="Heading2"/>
      </w:pPr>
      <w:bookmarkStart w:id="5" w:name="_Toc373104407"/>
      <w:r w:rsidRPr="00FB0F85">
        <w:t>Definition and Purpose of</w:t>
      </w:r>
      <w:r w:rsidR="00DE563D" w:rsidRPr="00FB0F85">
        <w:t xml:space="preserve"> </w:t>
      </w:r>
      <w:r w:rsidRPr="00FB0F85">
        <w:t xml:space="preserve">a </w:t>
      </w:r>
      <w:r w:rsidR="00DE563D" w:rsidRPr="00FB0F85">
        <w:t>Grant</w:t>
      </w:r>
      <w:bookmarkEnd w:id="5"/>
    </w:p>
    <w:p w:rsidR="00D70326" w:rsidRDefault="002A21B0" w:rsidP="0034224B">
      <w:r>
        <w:t xml:space="preserve">For the purposes </w:t>
      </w:r>
      <w:r w:rsidRPr="00EE42A7">
        <w:t>of NT</w:t>
      </w:r>
      <w:r w:rsidR="00D652B8" w:rsidRPr="00EE42A7">
        <w:t>CS</w:t>
      </w:r>
      <w:r w:rsidR="0090447A" w:rsidRPr="00EE42A7">
        <w:t>:</w:t>
      </w:r>
    </w:p>
    <w:p w:rsidR="0090447A" w:rsidRPr="0034224B" w:rsidRDefault="0090447A" w:rsidP="00D70326">
      <w:pPr>
        <w:pStyle w:val="BoxedText"/>
      </w:pPr>
      <w:r w:rsidRPr="00D70326">
        <w:t>A</w:t>
      </w:r>
      <w:r w:rsidR="00D652B8" w:rsidRPr="00D70326">
        <w:t xml:space="preserve"> grant is</w:t>
      </w:r>
      <w:r w:rsidRPr="00D70326">
        <w:t xml:space="preserve"> defined as a</w:t>
      </w:r>
      <w:r w:rsidR="00D652B8" w:rsidRPr="00D70326">
        <w:t>n arrangement for the provision of financial assistance to an External Service Provider (ESP)</w:t>
      </w:r>
      <w:r w:rsidR="006B434B" w:rsidRPr="00D70326">
        <w:t xml:space="preserve"> to provide a service</w:t>
      </w:r>
      <w:r w:rsidR="00FF1FA5">
        <w:t xml:space="preserve"> for public beneficiaries</w:t>
      </w:r>
      <w:r w:rsidRPr="00D70326">
        <w:t xml:space="preserve">, which is intended to promote the policy objectives and strategic </w:t>
      </w:r>
      <w:r w:rsidR="003456EA">
        <w:t>intent</w:t>
      </w:r>
      <w:r w:rsidRPr="00D70326">
        <w:t xml:space="preserve"> of the agency, and assist the recipient to build capacity and achieve its goals, </w:t>
      </w:r>
      <w:r w:rsidR="00D652B8" w:rsidRPr="00D70326">
        <w:t>under such terms and conditions as unilaterally determined by the agency</w:t>
      </w:r>
      <w:r w:rsidRPr="00D70326">
        <w:t>.</w:t>
      </w:r>
      <w:r w:rsidRPr="0034224B">
        <w:t xml:space="preserve">  </w:t>
      </w:r>
    </w:p>
    <w:p w:rsidR="0034224B" w:rsidRDefault="0034224B" w:rsidP="00DE563D">
      <w:r>
        <w:t>Financial arrangements which are not grants include the following:</w:t>
      </w:r>
    </w:p>
    <w:p w:rsidR="0034224B" w:rsidRDefault="007E5DEE" w:rsidP="007E5DEE">
      <w:pPr>
        <w:pStyle w:val="ListParagraph"/>
        <w:numPr>
          <w:ilvl w:val="0"/>
          <w:numId w:val="9"/>
        </w:numPr>
      </w:pPr>
      <w:r>
        <w:t>The procurement of property or services</w:t>
      </w:r>
      <w:r w:rsidR="00FA6EB1">
        <w:t>, including the procurement o</w:t>
      </w:r>
      <w:r w:rsidR="00B4309D">
        <w:t>f</w:t>
      </w:r>
      <w:r w:rsidR="00FA6EB1">
        <w:t xml:space="preserve"> property or services by a third party on behalf of the agency</w:t>
      </w:r>
      <w:r w:rsidR="00AA0DB1">
        <w:t>;</w:t>
      </w:r>
    </w:p>
    <w:p w:rsidR="007E5DEE" w:rsidRDefault="007E5DEE" w:rsidP="007E5DEE">
      <w:pPr>
        <w:pStyle w:val="ListParagraph"/>
        <w:numPr>
          <w:ilvl w:val="0"/>
          <w:numId w:val="9"/>
        </w:numPr>
      </w:pPr>
      <w:r>
        <w:t>An act of grace (</w:t>
      </w:r>
      <w:r w:rsidRPr="007E5DEE">
        <w:rPr>
          <w:i/>
        </w:rPr>
        <w:t>ex gratia</w:t>
      </w:r>
      <w:r>
        <w:t>) payment;</w:t>
      </w:r>
    </w:p>
    <w:p w:rsidR="007E5DEE" w:rsidRDefault="007E5DEE" w:rsidP="007E5DEE">
      <w:pPr>
        <w:pStyle w:val="ListParagraph"/>
        <w:numPr>
          <w:ilvl w:val="0"/>
          <w:numId w:val="9"/>
        </w:numPr>
      </w:pPr>
      <w:r>
        <w:t>A payment of compensation relating to defective administration, employment compensation, or for a purpose established by legislation;</w:t>
      </w:r>
    </w:p>
    <w:p w:rsidR="007E5DEE" w:rsidRDefault="00FA6EB1" w:rsidP="007E5DEE">
      <w:pPr>
        <w:pStyle w:val="ListParagraph"/>
        <w:numPr>
          <w:ilvl w:val="0"/>
          <w:numId w:val="9"/>
        </w:numPr>
      </w:pPr>
      <w:r>
        <w:t>A payment to a person</w:t>
      </w:r>
      <w:r w:rsidR="007E5DEE">
        <w:t xml:space="preserve"> of a benefit or entitlement established by legislation;</w:t>
      </w:r>
    </w:p>
    <w:p w:rsidR="007E5DEE" w:rsidRDefault="007E5DEE" w:rsidP="007E5DEE">
      <w:pPr>
        <w:pStyle w:val="ListParagraph"/>
        <w:numPr>
          <w:ilvl w:val="0"/>
          <w:numId w:val="9"/>
        </w:numPr>
      </w:pPr>
      <w:r>
        <w:t>A tax concession or offset;</w:t>
      </w:r>
    </w:p>
    <w:p w:rsidR="007E5DEE" w:rsidRDefault="007E5DEE" w:rsidP="007E5DEE">
      <w:pPr>
        <w:pStyle w:val="ListParagraph"/>
        <w:numPr>
          <w:ilvl w:val="0"/>
          <w:numId w:val="9"/>
        </w:numPr>
      </w:pPr>
      <w:r>
        <w:t>An inv</w:t>
      </w:r>
      <w:r w:rsidR="00AA0DB1">
        <w:t>estment or loan</w:t>
      </w:r>
      <w:r w:rsidR="00FA6EB1">
        <w:t>, whether repayable or not</w:t>
      </w:r>
      <w:r>
        <w:t>;</w:t>
      </w:r>
    </w:p>
    <w:p w:rsidR="007E5DEE" w:rsidRDefault="00AA0DB1" w:rsidP="007E5DEE">
      <w:pPr>
        <w:pStyle w:val="ListParagraph"/>
        <w:numPr>
          <w:ilvl w:val="0"/>
          <w:numId w:val="9"/>
        </w:numPr>
      </w:pPr>
      <w:r>
        <w:t>A gift of public property;</w:t>
      </w:r>
    </w:p>
    <w:p w:rsidR="00AA0DB1" w:rsidRDefault="00FA6EB1" w:rsidP="007E5DEE">
      <w:pPr>
        <w:pStyle w:val="ListParagraph"/>
        <w:numPr>
          <w:ilvl w:val="0"/>
          <w:numId w:val="9"/>
        </w:numPr>
      </w:pPr>
      <w:r>
        <w:t>A reimbursement of expenses</w:t>
      </w:r>
      <w:r w:rsidR="00E669E0">
        <w:t xml:space="preserve"> for property or services</w:t>
      </w:r>
      <w:r>
        <w:t>, whether evidence of expenditure is supplied or not;</w:t>
      </w:r>
      <w:r w:rsidR="00E669E0">
        <w:t xml:space="preserve"> and</w:t>
      </w:r>
    </w:p>
    <w:p w:rsidR="00FA6EB1" w:rsidRDefault="00FA6EB1" w:rsidP="007E5DEE">
      <w:pPr>
        <w:pStyle w:val="ListParagraph"/>
        <w:numPr>
          <w:ilvl w:val="0"/>
          <w:numId w:val="9"/>
        </w:numPr>
      </w:pPr>
      <w:r>
        <w:t>A payment which is in consequence of a</w:t>
      </w:r>
      <w:r w:rsidR="00E669E0">
        <w:t>n</w:t>
      </w:r>
      <w:r w:rsidR="00745D48">
        <w:t>other</w:t>
      </w:r>
      <w:r w:rsidR="00E669E0">
        <w:t xml:space="preserve"> </w:t>
      </w:r>
      <w:r>
        <w:t>agreement</w:t>
      </w:r>
      <w:r w:rsidR="00E669E0">
        <w:t xml:space="preserve"> between the agency and another party. </w:t>
      </w:r>
    </w:p>
    <w:p w:rsidR="006205A4" w:rsidRPr="00EE42A7" w:rsidRDefault="00670DEC" w:rsidP="00891AD1">
      <w:r>
        <w:t xml:space="preserve">Whist grants </w:t>
      </w:r>
      <w:r w:rsidR="00E1781B">
        <w:t>are usually</w:t>
      </w:r>
      <w:r>
        <w:t xml:space="preserve"> distinguishable from these financial arrangements, </w:t>
      </w:r>
      <w:r w:rsidR="00E1781B">
        <w:t>sometimes</w:t>
      </w:r>
      <w:r w:rsidR="00264856">
        <w:t xml:space="preserve"> the distinction between a grant and a procurement may not be immediately obvious</w:t>
      </w:r>
      <w:r>
        <w:t xml:space="preserve">.  </w:t>
      </w:r>
      <w:r w:rsidR="00264856">
        <w:t xml:space="preserve">In those cases </w:t>
      </w:r>
      <w:r w:rsidR="0035641C">
        <w:t xml:space="preserve">it is helpful to </w:t>
      </w:r>
      <w:r w:rsidR="00891AD1">
        <w:t xml:space="preserve">consider </w:t>
      </w:r>
      <w:r w:rsidR="00264856">
        <w:t xml:space="preserve">the </w:t>
      </w:r>
      <w:r w:rsidR="00E1781B">
        <w:t>broader</w:t>
      </w:r>
      <w:r w:rsidR="00264856">
        <w:t xml:space="preserve"> picture, including the purpose for which the funds are to be provided, the </w:t>
      </w:r>
      <w:r w:rsidR="00E1781B">
        <w:t xml:space="preserve">type of </w:t>
      </w:r>
      <w:r w:rsidR="00891AD1">
        <w:t>activity generated by the funding</w:t>
      </w:r>
      <w:r w:rsidR="00264856">
        <w:t xml:space="preserve">, </w:t>
      </w:r>
      <w:r w:rsidR="00891AD1">
        <w:t xml:space="preserve">the </w:t>
      </w:r>
      <w:r w:rsidR="00264856">
        <w:t>source of funds, and identity of the beneficiaries</w:t>
      </w:r>
      <w:r w:rsidR="00891AD1">
        <w:t xml:space="preserve">.  In general </w:t>
      </w:r>
      <w:r w:rsidR="00264856">
        <w:t>if the major focus of the arrangement is on the provision of property or services to the NT</w:t>
      </w:r>
      <w:r w:rsidR="007379D4">
        <w:t>G or a third party organisation</w:t>
      </w:r>
      <w:r w:rsidR="00891AD1">
        <w:t xml:space="preserve">, </w:t>
      </w:r>
      <w:r w:rsidR="00E1781B">
        <w:t>or</w:t>
      </w:r>
      <w:r w:rsidR="00891AD1">
        <w:t xml:space="preserve"> not primarily for the benefit of public beneficiaries, </w:t>
      </w:r>
      <w:r w:rsidR="00264856">
        <w:t xml:space="preserve">it should generally be treated as a procurement and subject to </w:t>
      </w:r>
      <w:r w:rsidR="00891AD1">
        <w:t>p</w:t>
      </w:r>
      <w:r w:rsidR="00264856">
        <w:t xml:space="preserve">rocurement </w:t>
      </w:r>
      <w:r w:rsidR="00891AD1">
        <w:t xml:space="preserve">procedures and </w:t>
      </w:r>
      <w:r w:rsidR="00264856">
        <w:t xml:space="preserve">regulations.  </w:t>
      </w:r>
      <w:r w:rsidR="006205A4">
        <w:t xml:space="preserve">Therefore, a grant arrangement always involves three </w:t>
      </w:r>
      <w:r w:rsidR="006205A4" w:rsidRPr="00EE42A7">
        <w:t>parties:</w:t>
      </w:r>
    </w:p>
    <w:p w:rsidR="006205A4" w:rsidRPr="00EE42A7" w:rsidRDefault="002A21B0" w:rsidP="006205A4">
      <w:pPr>
        <w:pStyle w:val="ListParagraph"/>
        <w:numPr>
          <w:ilvl w:val="0"/>
          <w:numId w:val="9"/>
        </w:numPr>
      </w:pPr>
      <w:r w:rsidRPr="00EE42A7">
        <w:t>The Provider (NT</w:t>
      </w:r>
      <w:r w:rsidR="006205A4" w:rsidRPr="00EE42A7">
        <w:t>CS) – who designs, administrates, and oversees the grant;</w:t>
      </w:r>
    </w:p>
    <w:p w:rsidR="006205A4" w:rsidRPr="00EE42A7" w:rsidRDefault="006205A4" w:rsidP="006205A4">
      <w:pPr>
        <w:pStyle w:val="ListParagraph"/>
        <w:numPr>
          <w:ilvl w:val="0"/>
          <w:numId w:val="9"/>
        </w:numPr>
      </w:pPr>
      <w:r w:rsidRPr="00EE42A7">
        <w:t>The Recipient (ESP) – who delivers the service as an agent of the provider; and</w:t>
      </w:r>
    </w:p>
    <w:p w:rsidR="006205A4" w:rsidRPr="00EE42A7" w:rsidRDefault="006205A4" w:rsidP="006205A4">
      <w:pPr>
        <w:pStyle w:val="ListParagraph"/>
        <w:numPr>
          <w:ilvl w:val="0"/>
          <w:numId w:val="9"/>
        </w:numPr>
      </w:pPr>
      <w:r w:rsidRPr="00EE42A7">
        <w:t>The Beneficiary (Public) – who receives the benefit of the granting activity.</w:t>
      </w:r>
    </w:p>
    <w:p w:rsidR="001A339D" w:rsidRPr="00EE42A7" w:rsidRDefault="00BE307C" w:rsidP="00DE563D">
      <w:r w:rsidRPr="00EE42A7">
        <w:t>The</w:t>
      </w:r>
      <w:r w:rsidR="00EF5B17" w:rsidRPr="00EE42A7">
        <w:t xml:space="preserve"> purpose of a grant must always </w:t>
      </w:r>
      <w:r w:rsidR="001A339D" w:rsidRPr="00EE42A7">
        <w:t xml:space="preserve">be linked to the core business and goals of the agency, and </w:t>
      </w:r>
      <w:r w:rsidR="00EF5B17" w:rsidRPr="00EE42A7">
        <w:t>maintain a nexus to, and be consistent with,</w:t>
      </w:r>
      <w:r w:rsidR="002A21B0" w:rsidRPr="00EE42A7">
        <w:t xml:space="preserve"> the strategic intent of NT</w:t>
      </w:r>
      <w:r w:rsidR="00EF5B17" w:rsidRPr="00EE42A7">
        <w:t>CS</w:t>
      </w:r>
      <w:r w:rsidR="001A339D" w:rsidRPr="00EE42A7">
        <w:t>.  Hence:</w:t>
      </w:r>
    </w:p>
    <w:p w:rsidR="00264856" w:rsidRPr="001A339D" w:rsidRDefault="001A339D" w:rsidP="00D70326">
      <w:pPr>
        <w:pStyle w:val="BoxedText"/>
      </w:pPr>
      <w:r w:rsidRPr="00EE42A7">
        <w:t>T</w:t>
      </w:r>
      <w:r w:rsidR="009E1400" w:rsidRPr="00EE42A7">
        <w:t>he purpose of an NT</w:t>
      </w:r>
      <w:r w:rsidR="00EF5B17" w:rsidRPr="00EE42A7">
        <w:t xml:space="preserve">CS grant </w:t>
      </w:r>
      <w:r w:rsidRPr="00EE42A7">
        <w:t>is</w:t>
      </w:r>
      <w:r w:rsidR="00EF5B17" w:rsidRPr="00EE42A7">
        <w:t xml:space="preserve"> to contribute to community safety by reducing re-offending through employment, education and programs.</w:t>
      </w:r>
      <w:r w:rsidR="00EF5B17" w:rsidRPr="001A339D">
        <w:t xml:space="preserve"> </w:t>
      </w:r>
    </w:p>
    <w:p w:rsidR="00695826" w:rsidRDefault="00695826" w:rsidP="00F467A2"/>
    <w:p w:rsidR="002F24C5" w:rsidRDefault="00D933AE" w:rsidP="00FB0F85">
      <w:pPr>
        <w:pStyle w:val="Heading2"/>
      </w:pPr>
      <w:bookmarkStart w:id="6" w:name="_Toc373104408"/>
      <w:r>
        <w:t>Legislative</w:t>
      </w:r>
      <w:r w:rsidR="002F24C5">
        <w:t xml:space="preserve"> Framework</w:t>
      </w:r>
      <w:bookmarkEnd w:id="6"/>
    </w:p>
    <w:p w:rsidR="008539C2" w:rsidRDefault="00695826" w:rsidP="00F467A2">
      <w:r>
        <w:lastRenderedPageBreak/>
        <w:t xml:space="preserve">The principal statute governing grants for agencies of the NTG is the </w:t>
      </w:r>
      <w:r w:rsidRPr="00695826">
        <w:rPr>
          <w:i/>
        </w:rPr>
        <w:t>Financial Management Act</w:t>
      </w:r>
      <w:r>
        <w:t xml:space="preserve"> 1995 (NT).</w:t>
      </w:r>
      <w:r>
        <w:rPr>
          <w:rStyle w:val="FootnoteReference"/>
        </w:rPr>
        <w:footnoteReference w:id="1"/>
      </w:r>
      <w:r>
        <w:t xml:space="preserve">  </w:t>
      </w:r>
      <w:r w:rsidR="00C31832">
        <w:t xml:space="preserve">The requirements </w:t>
      </w:r>
      <w:r w:rsidR="002A21B0">
        <w:t xml:space="preserve">imposed </w:t>
      </w:r>
      <w:r w:rsidR="002A21B0" w:rsidRPr="00EE42A7">
        <w:t>on NT</w:t>
      </w:r>
      <w:r w:rsidR="0020747C" w:rsidRPr="00EE42A7">
        <w:t>CS by</w:t>
      </w:r>
      <w:r w:rsidR="0020747C">
        <w:t xml:space="preserve"> </w:t>
      </w:r>
      <w:r w:rsidR="00C31832">
        <w:t xml:space="preserve">this legislation are articulated in practice under section A6.4: Grants and Subsidies, of the </w:t>
      </w:r>
      <w:r w:rsidR="00C31832" w:rsidRPr="0020747C">
        <w:rPr>
          <w:i/>
        </w:rPr>
        <w:t>Northern Territory Treasurer’s Directions</w:t>
      </w:r>
      <w:r w:rsidR="00C31832">
        <w:t xml:space="preserve">.  </w:t>
      </w:r>
    </w:p>
    <w:p w:rsidR="00695826" w:rsidRDefault="00FA1305" w:rsidP="00322628">
      <w:r>
        <w:t>Selected</w:t>
      </w:r>
      <w:r w:rsidR="00F6241E">
        <w:t xml:space="preserve"> </w:t>
      </w:r>
      <w:r w:rsidR="00341D84">
        <w:t xml:space="preserve">extracts </w:t>
      </w:r>
      <w:r w:rsidR="0020747C">
        <w:t xml:space="preserve">of significance from the </w:t>
      </w:r>
      <w:r w:rsidR="008539C2">
        <w:t xml:space="preserve">Treasurer’s </w:t>
      </w:r>
      <w:r w:rsidR="0020747C">
        <w:t xml:space="preserve">Directions </w:t>
      </w:r>
      <w:r w:rsidR="00341D84">
        <w:t>include the following:</w:t>
      </w:r>
    </w:p>
    <w:p w:rsidR="00341D84" w:rsidRDefault="003A3D78" w:rsidP="00F6241E">
      <w:pPr>
        <w:pStyle w:val="ListParagraph"/>
        <w:numPr>
          <w:ilvl w:val="0"/>
          <w:numId w:val="9"/>
        </w:numPr>
      </w:pPr>
      <w:r>
        <w:t xml:space="preserve">A6.4.1 – </w:t>
      </w:r>
      <w:r w:rsidR="008539C2">
        <w:t>“</w:t>
      </w:r>
      <w:r>
        <w:t>Grant and subsidy expenses are distributions of public money made by an Agency to other Agencies, entities or individuals that are directed at achieving Agency outputs and outcomes.</w:t>
      </w:r>
      <w:r w:rsidR="009A5102">
        <w:t>”</w:t>
      </w:r>
    </w:p>
    <w:p w:rsidR="005C3228" w:rsidRDefault="005C3228" w:rsidP="00E27D44">
      <w:pPr>
        <w:pStyle w:val="ListParagraph"/>
        <w:numPr>
          <w:ilvl w:val="0"/>
          <w:numId w:val="9"/>
        </w:numPr>
      </w:pPr>
      <w:r>
        <w:t xml:space="preserve">A6.4.2 – </w:t>
      </w:r>
      <w:r w:rsidR="008539C2">
        <w:t>“</w:t>
      </w:r>
      <w:r>
        <w:t>Grants may be non-reciprocal or reciprocal in nature.</w:t>
      </w:r>
      <w:r w:rsidR="009A5102">
        <w:t>”</w:t>
      </w:r>
    </w:p>
    <w:p w:rsidR="003A3D78" w:rsidRDefault="003A3D78" w:rsidP="00E27D44">
      <w:pPr>
        <w:pStyle w:val="ListParagraph"/>
        <w:numPr>
          <w:ilvl w:val="0"/>
          <w:numId w:val="9"/>
        </w:numPr>
      </w:pPr>
      <w:r>
        <w:t xml:space="preserve">A6.4.2(ii) – </w:t>
      </w:r>
      <w:r w:rsidR="008539C2">
        <w:t>“</w:t>
      </w:r>
      <w:r>
        <w:t>Grant and subsidy distributions are often used by Agencies as a means of delivering services to the community and can take many forms, including the provision of cash, non-cash assets and services. They can be adopted as a cost effective and efficient way of delivering required services where appropriate public sector skills or resources are not available and where certain organisations have closer contact with target groups or service users.</w:t>
      </w:r>
      <w:r w:rsidR="009A5102">
        <w:t>”</w:t>
      </w:r>
    </w:p>
    <w:p w:rsidR="0020747C" w:rsidRDefault="0020747C" w:rsidP="00E27D44">
      <w:pPr>
        <w:pStyle w:val="ListParagraph"/>
        <w:numPr>
          <w:ilvl w:val="0"/>
          <w:numId w:val="9"/>
        </w:numPr>
      </w:pPr>
      <w:r>
        <w:t xml:space="preserve">A6.4.2(v) – </w:t>
      </w:r>
      <w:r w:rsidR="008539C2">
        <w:t>“</w:t>
      </w:r>
      <w:r>
        <w:t>Grants and subsidies should be distinguished from the purchase of everyday goods and services by an Agency.  In the majority of cases, the purchase of goods and services will be based on standard terms and conditions set by the supplier rather than the Agency.  Conversely, grants and subsidy terms, conditions and/or eligibility criteria will invariably be established by the Agency (or Government) providing the grant, rather than the grant recipient.</w:t>
      </w:r>
      <w:r w:rsidR="009A5102">
        <w:t>”</w:t>
      </w:r>
      <w:r>
        <w:t xml:space="preserve"> </w:t>
      </w:r>
    </w:p>
    <w:p w:rsidR="0020747C" w:rsidRDefault="005C3228" w:rsidP="00E27D44">
      <w:pPr>
        <w:pStyle w:val="ListParagraph"/>
        <w:numPr>
          <w:ilvl w:val="0"/>
          <w:numId w:val="9"/>
        </w:numPr>
      </w:pPr>
      <w:r>
        <w:t xml:space="preserve">A6.4.3 – </w:t>
      </w:r>
      <w:r w:rsidR="008539C2">
        <w:t>“</w:t>
      </w:r>
      <w:r>
        <w:t>A non-reciprocal transfer means a transfer in which an Agency provides assets or services or extinguishes liabilities without directly receiving approximately equal value in exchange from the other party or parties to the transfer.</w:t>
      </w:r>
      <w:r w:rsidR="009A5102">
        <w:t>”</w:t>
      </w:r>
      <w:r>
        <w:t xml:space="preserve"> </w:t>
      </w:r>
    </w:p>
    <w:p w:rsidR="005C3228" w:rsidRDefault="005C3228" w:rsidP="00E27D44">
      <w:pPr>
        <w:pStyle w:val="ListParagraph"/>
        <w:numPr>
          <w:ilvl w:val="0"/>
          <w:numId w:val="9"/>
        </w:numPr>
      </w:pPr>
      <w:r>
        <w:t xml:space="preserve">A6.4.6 – </w:t>
      </w:r>
      <w:r w:rsidR="008539C2">
        <w:t>“</w:t>
      </w:r>
      <w:r>
        <w:t>A reciprocal transfer means a transfer in which an Agency provided assets or services or extinguishes liabilities and directly receives approximately equal value in exchange from the other party or parties to the transfer.</w:t>
      </w:r>
      <w:r w:rsidR="009A5102">
        <w:t>”</w:t>
      </w:r>
    </w:p>
    <w:p w:rsidR="009A5102" w:rsidRDefault="009A5102" w:rsidP="00E27D44">
      <w:pPr>
        <w:pStyle w:val="ListParagraph"/>
        <w:numPr>
          <w:ilvl w:val="0"/>
          <w:numId w:val="9"/>
        </w:numPr>
      </w:pPr>
      <w:r>
        <w:t xml:space="preserve">A6.4.11 – </w:t>
      </w:r>
      <w:r w:rsidR="008539C2">
        <w:t>“</w:t>
      </w:r>
      <w:r>
        <w:t xml:space="preserve">Each </w:t>
      </w:r>
      <w:r w:rsidR="00AF13C5">
        <w:t>A</w:t>
      </w:r>
      <w:r>
        <w:t xml:space="preserve">gency is to ensure that appropriate management, accountability and control arrangements are in place over the payment, ongoing monitoring, and acquittal of grants and subsidies.” </w:t>
      </w:r>
    </w:p>
    <w:p w:rsidR="005C3228" w:rsidRDefault="009A5102" w:rsidP="00E27D44">
      <w:pPr>
        <w:pStyle w:val="ListParagraph"/>
        <w:numPr>
          <w:ilvl w:val="0"/>
          <w:numId w:val="9"/>
        </w:numPr>
      </w:pPr>
      <w:r>
        <w:t xml:space="preserve">A6.4.11(i) – </w:t>
      </w:r>
      <w:r w:rsidR="008539C2">
        <w:t>“</w:t>
      </w:r>
      <w:r>
        <w:t xml:space="preserve">In particular, the payment of grant monies should be transparent and capable of withstanding public scrutiny.” </w:t>
      </w:r>
    </w:p>
    <w:p w:rsidR="009A5102" w:rsidRDefault="009A5102" w:rsidP="00E27D44">
      <w:pPr>
        <w:pStyle w:val="ListParagraph"/>
        <w:numPr>
          <w:ilvl w:val="0"/>
          <w:numId w:val="9"/>
        </w:numPr>
      </w:pPr>
      <w:r>
        <w:t>A6.4.11(ii) – “…Agencies should have regard to the relative risk and context within which a grant or subsidy is made”</w:t>
      </w:r>
    </w:p>
    <w:p w:rsidR="009A5102" w:rsidRDefault="009A5102" w:rsidP="00E27D44">
      <w:pPr>
        <w:pStyle w:val="ListParagraph"/>
        <w:numPr>
          <w:ilvl w:val="0"/>
          <w:numId w:val="9"/>
        </w:numPr>
      </w:pPr>
      <w:r>
        <w:t>A6.4.11(iii) – “…considerations that may be applicable to grant and subsidy distributions include, but are not limited to:</w:t>
      </w:r>
    </w:p>
    <w:p w:rsidR="009A5102" w:rsidRDefault="00F3018D" w:rsidP="009A5102">
      <w:pPr>
        <w:pStyle w:val="ListParagraph"/>
        <w:numPr>
          <w:ilvl w:val="1"/>
          <w:numId w:val="9"/>
        </w:numPr>
      </w:pPr>
      <w:r>
        <w:t>the identification and selection of recipients should be clear, transparent and capable of withstanding public scrutiny, with potential recipients selected on merit against established criteria;</w:t>
      </w:r>
    </w:p>
    <w:p w:rsidR="00F3018D" w:rsidRDefault="00F3018D" w:rsidP="009A5102">
      <w:pPr>
        <w:pStyle w:val="ListParagraph"/>
        <w:numPr>
          <w:ilvl w:val="1"/>
          <w:numId w:val="9"/>
        </w:numPr>
      </w:pPr>
      <w:r>
        <w:t>…written agreements should be legally sound;</w:t>
      </w:r>
    </w:p>
    <w:p w:rsidR="00F3018D" w:rsidRDefault="00F3018D" w:rsidP="009A5102">
      <w:pPr>
        <w:pStyle w:val="ListParagraph"/>
        <w:numPr>
          <w:ilvl w:val="1"/>
          <w:numId w:val="9"/>
        </w:numPr>
      </w:pPr>
      <w:r>
        <w:lastRenderedPageBreak/>
        <w:t>…applicable grant terms and conditions should be clearly specified and communicated with grant recipients, including any non-compliance and/or repayment requirements;</w:t>
      </w:r>
    </w:p>
    <w:p w:rsidR="00F3018D" w:rsidRDefault="00F3018D" w:rsidP="009A5102">
      <w:pPr>
        <w:pStyle w:val="ListParagraph"/>
        <w:numPr>
          <w:ilvl w:val="1"/>
          <w:numId w:val="9"/>
        </w:numPr>
      </w:pPr>
      <w:r>
        <w:t>clear acquittal processes should be established that are commensurate with the nature, risk and amount of funding provided;</w:t>
      </w:r>
    </w:p>
    <w:p w:rsidR="00F3018D" w:rsidRDefault="00F3018D" w:rsidP="009A5102">
      <w:pPr>
        <w:pStyle w:val="ListParagraph"/>
        <w:numPr>
          <w:ilvl w:val="1"/>
          <w:numId w:val="9"/>
        </w:numPr>
      </w:pPr>
      <w:r>
        <w:t xml:space="preserve">…payments…should be approved by an appropriately delegated officer; </w:t>
      </w:r>
    </w:p>
    <w:p w:rsidR="00F3018D" w:rsidRDefault="00F3018D" w:rsidP="009A5102">
      <w:pPr>
        <w:pStyle w:val="ListParagraph"/>
        <w:numPr>
          <w:ilvl w:val="1"/>
          <w:numId w:val="9"/>
        </w:numPr>
      </w:pPr>
      <w:r>
        <w:t>grants should be followed up in a timely manner where terms and/or conditions are breached to a material extent and partial or full repayment of a grant is required;</w:t>
      </w:r>
    </w:p>
    <w:p w:rsidR="00F3018D" w:rsidRDefault="00F3018D" w:rsidP="009A5102">
      <w:pPr>
        <w:pStyle w:val="ListParagraph"/>
        <w:numPr>
          <w:ilvl w:val="1"/>
          <w:numId w:val="9"/>
        </w:numPr>
      </w:pPr>
      <w:r>
        <w:t>…periodic review of the overall efficiency and effectiveness of grant and subsidy funding as a means of achieving Agency objectives should be undertaken.”</w:t>
      </w:r>
    </w:p>
    <w:p w:rsidR="00176B56" w:rsidRDefault="00301DB7" w:rsidP="00176B56">
      <w:r>
        <w:t>A second</w:t>
      </w:r>
      <w:r w:rsidR="00176B56">
        <w:t xml:space="preserve"> NT statute of direct relevance to grants for agencies of the NTG is the </w:t>
      </w:r>
      <w:r w:rsidR="00176B56">
        <w:rPr>
          <w:i/>
        </w:rPr>
        <w:t xml:space="preserve">Information Act </w:t>
      </w:r>
      <w:r w:rsidR="00176B56">
        <w:t>2002 (NT).</w:t>
      </w:r>
      <w:r w:rsidR="00176B56">
        <w:rPr>
          <w:rStyle w:val="FootnoteReference"/>
        </w:rPr>
        <w:footnoteReference w:id="2"/>
      </w:r>
      <w:r w:rsidR="009F344F">
        <w:t xml:space="preserve">  Under this Act</w:t>
      </w:r>
      <w:r w:rsidR="00D24388">
        <w:t>, in relation to grants</w:t>
      </w:r>
      <w:r w:rsidR="009F344F">
        <w:t>:</w:t>
      </w:r>
    </w:p>
    <w:p w:rsidR="009F344F" w:rsidRDefault="009F344F" w:rsidP="00176B56">
      <w:pPr>
        <w:pStyle w:val="ListParagraph"/>
        <w:numPr>
          <w:ilvl w:val="0"/>
          <w:numId w:val="9"/>
        </w:numPr>
      </w:pPr>
      <w:r>
        <w:t xml:space="preserve">Personal information should be managed </w:t>
      </w:r>
      <w:r w:rsidR="00D24388">
        <w:t xml:space="preserve">by the agency </w:t>
      </w:r>
      <w:r>
        <w:t>in accordance with the Information Privacy Principles</w:t>
      </w:r>
      <w:r>
        <w:rPr>
          <w:rStyle w:val="FootnoteReference"/>
        </w:rPr>
        <w:footnoteReference w:id="3"/>
      </w:r>
      <w:r w:rsidR="00992D20">
        <w:t xml:space="preserve"> and</w:t>
      </w:r>
      <w:r>
        <w:t xml:space="preserve"> not be disclosed to any other third party without the consent of the ESP, unless required by law or authorised </w:t>
      </w:r>
      <w:r w:rsidR="00992D20">
        <w:t>by</w:t>
      </w:r>
      <w:r>
        <w:t xml:space="preserve"> the Act;</w:t>
      </w:r>
    </w:p>
    <w:p w:rsidR="00176B56" w:rsidRDefault="009F344F" w:rsidP="00176B56">
      <w:pPr>
        <w:pStyle w:val="ListParagraph"/>
        <w:numPr>
          <w:ilvl w:val="0"/>
          <w:numId w:val="9"/>
        </w:numPr>
      </w:pPr>
      <w:r>
        <w:t>Personal information should only be accessed by authorised agency staff for purposes directly related to assessing a</w:t>
      </w:r>
      <w:r w:rsidR="00D24388">
        <w:t>pplications and managing grants; and</w:t>
      </w:r>
    </w:p>
    <w:p w:rsidR="00D24388" w:rsidRDefault="00D24388" w:rsidP="00176B56">
      <w:pPr>
        <w:pStyle w:val="ListParagraph"/>
        <w:numPr>
          <w:ilvl w:val="0"/>
          <w:numId w:val="9"/>
        </w:numPr>
      </w:pPr>
      <w:r>
        <w:t xml:space="preserve">ESPs must refrain from engaging in direct marketing and impose the same privacy obligations to partners and subcontractors it engages to deliver services. </w:t>
      </w:r>
    </w:p>
    <w:p w:rsidR="009F344F" w:rsidRDefault="00D24388" w:rsidP="009F344F">
      <w:r>
        <w:t xml:space="preserve">More generally, agency staff should bear in mind that grants procedures should be consistent with the dictates of </w:t>
      </w:r>
      <w:r w:rsidR="009F344F">
        <w:t>A</w:t>
      </w:r>
      <w:r>
        <w:t>ustralian a</w:t>
      </w:r>
      <w:r w:rsidR="009F344F">
        <w:t>dministrative law</w:t>
      </w:r>
      <w:r>
        <w:t xml:space="preserve">, and in </w:t>
      </w:r>
      <w:r w:rsidR="009F344F">
        <w:t>particular priorities of natural justi</w:t>
      </w:r>
      <w:r>
        <w:t xml:space="preserve">ce, anti-discrimination, and freedom of information.  </w:t>
      </w:r>
    </w:p>
    <w:p w:rsidR="00176B56" w:rsidRPr="00EE42A7" w:rsidRDefault="00D24388" w:rsidP="00FB42DE">
      <w:r>
        <w:t>A final statu</w:t>
      </w:r>
      <w:r w:rsidR="00AA16A2">
        <w:t>t</w:t>
      </w:r>
      <w:r>
        <w:t xml:space="preserve">e </w:t>
      </w:r>
      <w:r w:rsidR="00176B56">
        <w:t>directly concerning</w:t>
      </w:r>
      <w:r w:rsidR="00C8510A">
        <w:t xml:space="preserve"> grants for agencies of the NTG </w:t>
      </w:r>
      <w:r>
        <w:t>is</w:t>
      </w:r>
      <w:r w:rsidR="00C8510A">
        <w:t xml:space="preserve"> the </w:t>
      </w:r>
      <w:r w:rsidR="00C8510A" w:rsidRPr="00C8510A">
        <w:rPr>
          <w:i/>
        </w:rPr>
        <w:t>A New tax System (Goods and Services Tax) Act</w:t>
      </w:r>
      <w:r w:rsidR="00C8510A">
        <w:t xml:space="preserve"> 1999</w:t>
      </w:r>
      <w:r>
        <w:t xml:space="preserve"> (Cth), </w:t>
      </w:r>
      <w:r w:rsidR="00176B56">
        <w:t xml:space="preserve">in relation to GST </w:t>
      </w:r>
      <w:r>
        <w:t>obligations.  Although it is incumbent on</w:t>
      </w:r>
      <w:r w:rsidR="002A21B0">
        <w:t xml:space="preserve"> ESPs to apprise the ABR </w:t>
      </w:r>
      <w:r w:rsidR="002A21B0" w:rsidRPr="00EE42A7">
        <w:t>and NT</w:t>
      </w:r>
      <w:r w:rsidRPr="00EE42A7">
        <w:t>CS of their GST status</w:t>
      </w:r>
      <w:r w:rsidR="00FB42DE" w:rsidRPr="00EE42A7">
        <w:t xml:space="preserve">, the agency must still be aware of GST implications for grants payments for both the agency and recipient, and act in accordance with Territory policies </w:t>
      </w:r>
      <w:r w:rsidR="00176B56" w:rsidRPr="00EE42A7">
        <w:t xml:space="preserve">specified in </w:t>
      </w:r>
      <w:r w:rsidR="00FB42DE" w:rsidRPr="00EE42A7">
        <w:t xml:space="preserve">NT </w:t>
      </w:r>
      <w:r w:rsidR="00176B56" w:rsidRPr="00EE42A7">
        <w:t>Treasury Tax Circulars.</w:t>
      </w:r>
    </w:p>
    <w:p w:rsidR="004378A8" w:rsidRPr="00EE42A7" w:rsidRDefault="004378A8" w:rsidP="00FB0F85">
      <w:pPr>
        <w:pStyle w:val="Heading2"/>
      </w:pPr>
      <w:bookmarkStart w:id="7" w:name="_Toc373104409"/>
      <w:r w:rsidRPr="00EE42A7">
        <w:t>Commonwealth Government P</w:t>
      </w:r>
      <w:r w:rsidR="00E96580" w:rsidRPr="00EE42A7">
        <w:t>olicy Framework</w:t>
      </w:r>
      <w:bookmarkEnd w:id="7"/>
    </w:p>
    <w:p w:rsidR="009A4C72" w:rsidRDefault="00E96580">
      <w:r w:rsidRPr="00EE42A7">
        <w:t xml:space="preserve">The </w:t>
      </w:r>
      <w:r w:rsidR="008E1576" w:rsidRPr="00EE42A7">
        <w:t>Commonwealth Grant Guidelines (</w:t>
      </w:r>
      <w:r w:rsidR="008F1248" w:rsidRPr="00EE42A7">
        <w:t>CGGs</w:t>
      </w:r>
      <w:r w:rsidR="008E1576" w:rsidRPr="00EE42A7">
        <w:t>)</w:t>
      </w:r>
      <w:r w:rsidRPr="00EE42A7">
        <w:t xml:space="preserve">, issued by the Federal Finance Minister under regulation 7A of the </w:t>
      </w:r>
      <w:r w:rsidR="008E1576" w:rsidRPr="00EE42A7">
        <w:rPr>
          <w:i/>
        </w:rPr>
        <w:t>Financial Management and Accountability Regulations</w:t>
      </w:r>
      <w:r w:rsidR="008E1576" w:rsidRPr="00EE42A7">
        <w:t xml:space="preserve"> 1997, </w:t>
      </w:r>
      <w:r w:rsidR="008A435C" w:rsidRPr="00EE42A7">
        <w:t>establish</w:t>
      </w:r>
      <w:r w:rsidRPr="00EE42A7">
        <w:t xml:space="preserve"> the policy framework for grants administration by </w:t>
      </w:r>
      <w:r w:rsidR="008E1576" w:rsidRPr="00EE42A7">
        <w:t xml:space="preserve">Commonwealth Government </w:t>
      </w:r>
      <w:r w:rsidRPr="00EE42A7">
        <w:t>agencies</w:t>
      </w:r>
      <w:r w:rsidR="008E1576" w:rsidRPr="00EE42A7">
        <w:t xml:space="preserve"> subject to the </w:t>
      </w:r>
      <w:r w:rsidR="008E1576" w:rsidRPr="00EE42A7">
        <w:rPr>
          <w:i/>
        </w:rPr>
        <w:t>Financial Management and Accountability Act</w:t>
      </w:r>
      <w:r w:rsidR="008E1576" w:rsidRPr="00EE42A7">
        <w:t xml:space="preserve"> 1997 (Cth).  These </w:t>
      </w:r>
      <w:r w:rsidR="008A435C" w:rsidRPr="00EE42A7">
        <w:t xml:space="preserve">highly detailed </w:t>
      </w:r>
      <w:r w:rsidR="008E1576" w:rsidRPr="00EE42A7">
        <w:t>guidelin</w:t>
      </w:r>
      <w:r w:rsidR="00470A25" w:rsidRPr="00EE42A7">
        <w:t>es may be instructive to NT</w:t>
      </w:r>
      <w:r w:rsidR="008E1576" w:rsidRPr="00EE42A7">
        <w:t xml:space="preserve">CS in general, but do not bind it in any way.  </w:t>
      </w:r>
      <w:r w:rsidR="008A435C" w:rsidRPr="00EE42A7">
        <w:t>Notably</w:t>
      </w:r>
      <w:r w:rsidR="002F0258" w:rsidRPr="00EE42A7">
        <w:t xml:space="preserve"> however</w:t>
      </w:r>
      <w:r w:rsidR="008E1576" w:rsidRPr="00EE42A7">
        <w:t>, the CGGs articulate</w:t>
      </w:r>
      <w:r w:rsidR="008A435C" w:rsidRPr="00EE42A7">
        <w:t xml:space="preserve"> seven </w:t>
      </w:r>
      <w:r w:rsidR="006D3862" w:rsidRPr="00EE42A7">
        <w:t>broad</w:t>
      </w:r>
      <w:r w:rsidR="008A435C" w:rsidRPr="00EE42A7">
        <w:t xml:space="preserve"> principles for grants administration: robust planning and design; collaboration and partnership; proportionality; an outcomes orientation; achieving value with public money; governance and accountability; and probity and transparency.  </w:t>
      </w:r>
      <w:r w:rsidR="002F0258" w:rsidRPr="00EE42A7">
        <w:t xml:space="preserve">These </w:t>
      </w:r>
      <w:r w:rsidR="006D3862" w:rsidRPr="00EE42A7">
        <w:t xml:space="preserve">judicious </w:t>
      </w:r>
      <w:r w:rsidR="002F0258" w:rsidRPr="00EE42A7">
        <w:t>principles</w:t>
      </w:r>
      <w:r w:rsidR="00D33703" w:rsidRPr="00EE42A7">
        <w:t xml:space="preserve"> are </w:t>
      </w:r>
      <w:r w:rsidR="00FF7F95" w:rsidRPr="00EE42A7">
        <w:t xml:space="preserve">recognised and </w:t>
      </w:r>
      <w:r w:rsidR="00D33703" w:rsidRPr="00EE42A7">
        <w:t xml:space="preserve">incorporated </w:t>
      </w:r>
      <w:r w:rsidR="009A4C72" w:rsidRPr="00EE42A7">
        <w:t xml:space="preserve">henceforth in </w:t>
      </w:r>
      <w:r w:rsidR="00D33703" w:rsidRPr="00EE42A7">
        <w:t xml:space="preserve">this GMF </w:t>
      </w:r>
      <w:r w:rsidR="006D3862" w:rsidRPr="00EE42A7">
        <w:t xml:space="preserve">as </w:t>
      </w:r>
      <w:r w:rsidR="00380DDD" w:rsidRPr="00EE42A7">
        <w:t xml:space="preserve">and where </w:t>
      </w:r>
      <w:r w:rsidR="006D3862" w:rsidRPr="00EE42A7">
        <w:t xml:space="preserve">they are relevant to the </w:t>
      </w:r>
      <w:r w:rsidR="00D232F0" w:rsidRPr="00EE42A7">
        <w:t xml:space="preserve">specific </w:t>
      </w:r>
      <w:r w:rsidR="002F0258" w:rsidRPr="00EE42A7">
        <w:t xml:space="preserve">grants </w:t>
      </w:r>
      <w:r w:rsidR="00D232F0" w:rsidRPr="00EE42A7">
        <w:t>work</w:t>
      </w:r>
      <w:r w:rsidR="006D3862" w:rsidRPr="00EE42A7">
        <w:t xml:space="preserve"> of </w:t>
      </w:r>
      <w:r w:rsidR="00470A25" w:rsidRPr="00EE42A7">
        <w:t>NT</w:t>
      </w:r>
      <w:r w:rsidR="006D3862" w:rsidRPr="00EE42A7">
        <w:t>CS</w:t>
      </w:r>
      <w:r w:rsidR="00076680">
        <w:t>.</w:t>
      </w:r>
      <w:r w:rsidR="009A4C72">
        <w:br w:type="page"/>
      </w:r>
    </w:p>
    <w:p w:rsidR="009A4C72" w:rsidRDefault="009A4C72" w:rsidP="009A4C72">
      <w:pPr>
        <w:pStyle w:val="Heading1"/>
      </w:pPr>
      <w:bookmarkStart w:id="8" w:name="_Toc373104410"/>
      <w:r>
        <w:lastRenderedPageBreak/>
        <w:t>Principles for Best Practice</w:t>
      </w:r>
      <w:bookmarkEnd w:id="8"/>
    </w:p>
    <w:p w:rsidR="00CC3014" w:rsidRDefault="004A5D57" w:rsidP="004A5D57">
      <w:r>
        <w:t xml:space="preserve">The high level principles applicable for best practice in the administration of grants are outlined </w:t>
      </w:r>
      <w:r w:rsidR="0033239E">
        <w:t>below</w:t>
      </w:r>
      <w:r>
        <w:t xml:space="preserve">.  </w:t>
      </w:r>
      <w:r w:rsidR="00CC3014">
        <w:t xml:space="preserve">These principles are essentially </w:t>
      </w:r>
      <w:r w:rsidR="00486C7E">
        <w:t>relevant</w:t>
      </w:r>
      <w:r w:rsidR="00CC3014">
        <w:t xml:space="preserve"> to all NTG agencies, with processes and concepts described being suitable irrespective of the substantive </w:t>
      </w:r>
      <w:r w:rsidR="00486C7E">
        <w:t>operational objective</w:t>
      </w:r>
      <w:r w:rsidR="00CC3014">
        <w:t xml:space="preserve"> of a grant.  </w:t>
      </w:r>
      <w:r w:rsidR="006E731D">
        <w:t xml:space="preserve">Hence they </w:t>
      </w:r>
      <w:r w:rsidR="009D5AC9">
        <w:t xml:space="preserve">are not only principles, but also standards for best practice. </w:t>
      </w:r>
    </w:p>
    <w:p w:rsidR="002F24C5" w:rsidRPr="00EE42A7" w:rsidRDefault="002F24C5" w:rsidP="00FB0F85">
      <w:pPr>
        <w:pStyle w:val="Heading2"/>
      </w:pPr>
      <w:bookmarkStart w:id="9" w:name="_Toc373104411"/>
      <w:r>
        <w:t xml:space="preserve">Organisation and </w:t>
      </w:r>
      <w:r w:rsidRPr="00EE42A7">
        <w:t>Consistency</w:t>
      </w:r>
      <w:bookmarkEnd w:id="9"/>
    </w:p>
    <w:p w:rsidR="00F660E6" w:rsidRPr="00EE42A7" w:rsidRDefault="00562F0F" w:rsidP="00F23568">
      <w:r w:rsidRPr="00EE42A7">
        <w:t>To maintain integrity and accountability, mitigate concerns about equitable treatment</w:t>
      </w:r>
      <w:r w:rsidR="00F660E6" w:rsidRPr="00EE42A7">
        <w:t xml:space="preserve"> of ESPs</w:t>
      </w:r>
      <w:r w:rsidRPr="00EE42A7">
        <w:t xml:space="preserve">, and ensure </w:t>
      </w:r>
      <w:r w:rsidR="00F23568" w:rsidRPr="00EE42A7">
        <w:t>constancy</w:t>
      </w:r>
      <w:r w:rsidRPr="00EE42A7">
        <w:t xml:space="preserve"> in business practice, </w:t>
      </w:r>
      <w:r w:rsidR="00470A25" w:rsidRPr="00EE42A7">
        <w:t>it is imperative that NT</w:t>
      </w:r>
      <w:r w:rsidR="00F23568" w:rsidRPr="00EE42A7">
        <w:t xml:space="preserve">CS conduct its grants work in an organised and consistent manner within, and across </w:t>
      </w:r>
      <w:r w:rsidR="00F660E6" w:rsidRPr="00EE42A7">
        <w:t xml:space="preserve">its divisions.  </w:t>
      </w:r>
      <w:r w:rsidR="005B63D4" w:rsidRPr="00EE42A7">
        <w:t>In practice, this means following u</w:t>
      </w:r>
      <w:r w:rsidR="00F660E6" w:rsidRPr="00EE42A7">
        <w:t>niform, systematic workflow processes</w:t>
      </w:r>
      <w:r w:rsidR="00F23568" w:rsidRPr="00EE42A7">
        <w:t xml:space="preserve"> </w:t>
      </w:r>
      <w:r w:rsidR="005B63D4" w:rsidRPr="00EE42A7">
        <w:t xml:space="preserve">to </w:t>
      </w:r>
      <w:r w:rsidR="00F23568" w:rsidRPr="00EE42A7">
        <w:t>help ensure that both agency staff and ESPs are aware of their obligations, and c</w:t>
      </w:r>
      <w:r w:rsidR="00F660E6" w:rsidRPr="00EE42A7">
        <w:t xml:space="preserve">an have confidence in the outcomes of their work.  From a business standpoint, </w:t>
      </w:r>
      <w:r w:rsidR="004500B3" w:rsidRPr="00EE42A7">
        <w:t>maintaining</w:t>
      </w:r>
      <w:r w:rsidR="00F660E6" w:rsidRPr="00EE42A7">
        <w:t xml:space="preserve"> consistent work protocols also </w:t>
      </w:r>
      <w:r w:rsidR="004500B3" w:rsidRPr="00EE42A7">
        <w:t>assists</w:t>
      </w:r>
      <w:r w:rsidR="00F660E6" w:rsidRPr="00EE42A7">
        <w:t xml:space="preserve"> when staff changes occur and there can otherwise be a loss of institutional memory</w:t>
      </w:r>
      <w:r w:rsidR="004500B3" w:rsidRPr="00EE42A7">
        <w:t xml:space="preserve"> regarding correct processes</w:t>
      </w:r>
      <w:r w:rsidR="00F660E6" w:rsidRPr="00EE42A7">
        <w:t xml:space="preserve">.  </w:t>
      </w:r>
    </w:p>
    <w:p w:rsidR="004500B3" w:rsidRPr="00EE42A7" w:rsidRDefault="00F660E6" w:rsidP="004500B3">
      <w:r w:rsidRPr="00EE42A7">
        <w:t xml:space="preserve">Consistency is also </w:t>
      </w:r>
      <w:r w:rsidR="004500B3" w:rsidRPr="00EE42A7">
        <w:t>essential</w:t>
      </w:r>
      <w:r w:rsidRPr="00EE42A7">
        <w:t xml:space="preserve"> with regards to terminology</w:t>
      </w:r>
      <w:r w:rsidR="004500B3" w:rsidRPr="00EE42A7">
        <w:t>.  Clearly defining grants activities as distinct from other agency work and financial arrangements helps to alleviate confusion; for example, procurement terminology such as ‘request for tender’ and ‘expressions of interest’ should not generally be used in grant</w:t>
      </w:r>
      <w:r w:rsidR="00207EC9" w:rsidRPr="00EE42A7">
        <w:t>s</w:t>
      </w:r>
      <w:r w:rsidR="004500B3" w:rsidRPr="00EE42A7">
        <w:t xml:space="preserve"> documentation.  Accordingly, both the process by which grants are established, </w:t>
      </w:r>
      <w:r w:rsidR="003C30E9" w:rsidRPr="00EE42A7">
        <w:t xml:space="preserve">administered and evaluated, and definitions and terminology associated with these activities should be clearly documented and accessible to </w:t>
      </w:r>
      <w:r w:rsidR="005F6DB0" w:rsidRPr="00EE42A7">
        <w:t xml:space="preserve">agency </w:t>
      </w:r>
      <w:r w:rsidR="003C30E9" w:rsidRPr="00EE42A7">
        <w:t xml:space="preserve">staff. </w:t>
      </w:r>
    </w:p>
    <w:p w:rsidR="009404C1" w:rsidRPr="00EE42A7" w:rsidRDefault="009404C1" w:rsidP="00FB0F85">
      <w:pPr>
        <w:pStyle w:val="Heading2"/>
      </w:pPr>
      <w:bookmarkStart w:id="10" w:name="_Toc373104412"/>
      <w:r w:rsidRPr="00EE42A7">
        <w:t>Communication</w:t>
      </w:r>
      <w:r w:rsidR="00BB1631" w:rsidRPr="00EE42A7">
        <w:t xml:space="preserve"> and Collaboration</w:t>
      </w:r>
      <w:bookmarkEnd w:id="10"/>
    </w:p>
    <w:p w:rsidR="00207EC9" w:rsidRPr="00EE42A7" w:rsidRDefault="00606C13" w:rsidP="009404C1">
      <w:r w:rsidRPr="00EE42A7">
        <w:t xml:space="preserve">An effective grants program requires clear communication between all stakeholders; that is, both with ESPs </w:t>
      </w:r>
      <w:r w:rsidR="005C5BA4" w:rsidRPr="00EE42A7">
        <w:t>but also</w:t>
      </w:r>
      <w:r w:rsidRPr="00EE42A7">
        <w:t xml:space="preserve"> within </w:t>
      </w:r>
      <w:r w:rsidR="00470A25" w:rsidRPr="00EE42A7">
        <w:t>NT</w:t>
      </w:r>
      <w:r w:rsidR="00256FD4" w:rsidRPr="00EE42A7">
        <w:t>CS</w:t>
      </w:r>
      <w:r w:rsidR="005C5BA4" w:rsidRPr="00EE42A7">
        <w:t xml:space="preserve"> itself.  Staff should seek to consult, cooperate, and collaborate with potential grant applicants, industry and community sectors, other government agencies, and relevant employees within their organisation to help reduce fragmentation, unnecessary overlaps and duplication of funding.  Agency policy objectives are most likely to be achieved through collaborative efforts which </w:t>
      </w:r>
      <w:r w:rsidR="008D327B" w:rsidRPr="00EE42A7">
        <w:t>facilitate</w:t>
      </w:r>
      <w:r w:rsidR="005C5BA4" w:rsidRPr="00EE42A7">
        <w:t xml:space="preserve"> positive working relationships, information sharing, and </w:t>
      </w:r>
      <w:r w:rsidR="008D327B" w:rsidRPr="00EE42A7">
        <w:t>a shared understanding</w:t>
      </w:r>
      <w:r w:rsidR="005C5BA4" w:rsidRPr="00EE42A7">
        <w:t xml:space="preserve"> </w:t>
      </w:r>
      <w:r w:rsidR="008D327B" w:rsidRPr="00EE42A7">
        <w:t xml:space="preserve">of expectations and intended outcomes.  </w:t>
      </w:r>
    </w:p>
    <w:p w:rsidR="008D2779" w:rsidRPr="00EE42A7" w:rsidRDefault="008D327B" w:rsidP="006C289A">
      <w:r w:rsidRPr="00EE42A7">
        <w:t xml:space="preserve">With regard to ESPs, it is imperative that </w:t>
      </w:r>
      <w:r w:rsidR="00470A25" w:rsidRPr="00EE42A7">
        <w:t>NT</w:t>
      </w:r>
      <w:r w:rsidR="006F5BD0" w:rsidRPr="00EE42A7">
        <w:t>CS</w:t>
      </w:r>
      <w:r w:rsidRPr="00EE42A7">
        <w:t xml:space="preserve"> </w:t>
      </w:r>
      <w:r w:rsidR="00274AB3" w:rsidRPr="00EE42A7">
        <w:t xml:space="preserve">maintains meaningful dialogue, providing reasoning and guidance wherever possible.  </w:t>
      </w:r>
      <w:r w:rsidR="007D4AB4" w:rsidRPr="00EE42A7">
        <w:t>Hence</w:t>
      </w:r>
      <w:r w:rsidR="00274AB3" w:rsidRPr="00EE42A7">
        <w:t xml:space="preserve"> in relation to applications and acquittal tasks, it is important not only to provide timely notification of success</w:t>
      </w:r>
      <w:r w:rsidR="00D251A4" w:rsidRPr="00EE42A7">
        <w:t xml:space="preserve">, failure, </w:t>
      </w:r>
      <w:r w:rsidR="00274AB3" w:rsidRPr="00EE42A7">
        <w:t xml:space="preserve">compliance, </w:t>
      </w:r>
      <w:r w:rsidR="00D251A4" w:rsidRPr="00EE42A7">
        <w:t xml:space="preserve">and non-compliance, </w:t>
      </w:r>
      <w:r w:rsidR="00274AB3" w:rsidRPr="00EE42A7">
        <w:t xml:space="preserve">but also details for why a submission </w:t>
      </w:r>
      <w:r w:rsidR="00D251A4" w:rsidRPr="00EE42A7">
        <w:t>has been adjudicated as such</w:t>
      </w:r>
      <w:r w:rsidR="00274AB3" w:rsidRPr="00EE42A7">
        <w:t xml:space="preserve">.  It should not be assumed that all an ESP requires is money – the agency can contribute valuable, specialist advice and experience </w:t>
      </w:r>
      <w:r w:rsidR="00D251A4" w:rsidRPr="00EE42A7">
        <w:t xml:space="preserve">which will help ESPs to build capacity and ultimately deliver better results.  </w:t>
      </w:r>
    </w:p>
    <w:p w:rsidR="002E2EF5" w:rsidRPr="00EE42A7" w:rsidRDefault="002E2EF5" w:rsidP="006C289A"/>
    <w:p w:rsidR="00D251A4" w:rsidRPr="00EE42A7" w:rsidRDefault="006C289A" w:rsidP="006C289A">
      <w:r w:rsidRPr="00EE42A7">
        <w:t>Bear in mind though that</w:t>
      </w:r>
      <w:r w:rsidR="00D251A4" w:rsidRPr="00EE42A7">
        <w:t xml:space="preserve"> agency staff should be careful to not overstep their bounds</w:t>
      </w:r>
      <w:r w:rsidR="008D2779" w:rsidRPr="00EE42A7">
        <w:t>.  A</w:t>
      </w:r>
      <w:r w:rsidR="00D251A4" w:rsidRPr="00EE42A7">
        <w:t xml:space="preserve">dvice and assistance </w:t>
      </w:r>
      <w:r w:rsidR="008D2779" w:rsidRPr="00EE42A7">
        <w:t xml:space="preserve">communicated </w:t>
      </w:r>
      <w:r w:rsidRPr="00EE42A7">
        <w:t xml:space="preserve">should always be </w:t>
      </w:r>
      <w:r w:rsidR="00D251A4" w:rsidRPr="00EE42A7">
        <w:t>provided at arms-length,</w:t>
      </w:r>
      <w:r w:rsidRPr="00EE42A7">
        <w:t xml:space="preserve"> by qualified persons, and not transgress the separation of duties be</w:t>
      </w:r>
      <w:r>
        <w:t xml:space="preserve">tween the </w:t>
      </w:r>
      <w:r w:rsidR="00897F48">
        <w:t>provider</w:t>
      </w:r>
      <w:r w:rsidR="008D2779">
        <w:t xml:space="preserve"> and </w:t>
      </w:r>
      <w:r w:rsidR="00897F48">
        <w:t>recipient</w:t>
      </w:r>
      <w:r w:rsidR="00470A25">
        <w:t xml:space="preserve">; </w:t>
      </w:r>
      <w:r w:rsidR="00470A25" w:rsidRPr="00EE42A7">
        <w:t>NT</w:t>
      </w:r>
      <w:r w:rsidR="008D2779" w:rsidRPr="00EE42A7">
        <w:t xml:space="preserve">CS should seek to assist ESPs </w:t>
      </w:r>
      <w:r w:rsidR="00391B73" w:rsidRPr="00EE42A7">
        <w:t xml:space="preserve">to apply for grants, deliver services and </w:t>
      </w:r>
      <w:r w:rsidR="008D2779" w:rsidRPr="00EE42A7">
        <w:t xml:space="preserve">acquit their activities wherever possible, but never directly complete their work for them.  </w:t>
      </w:r>
    </w:p>
    <w:p w:rsidR="002F24C5" w:rsidRPr="00EE42A7" w:rsidRDefault="002F24C5" w:rsidP="00FB0F85">
      <w:pPr>
        <w:pStyle w:val="Heading2"/>
      </w:pPr>
      <w:bookmarkStart w:id="11" w:name="_Toc373104413"/>
      <w:r w:rsidRPr="00EE42A7">
        <w:lastRenderedPageBreak/>
        <w:t>Probity and Transparency</w:t>
      </w:r>
      <w:bookmarkEnd w:id="11"/>
    </w:p>
    <w:p w:rsidR="00532A5B" w:rsidRPr="00EE42A7" w:rsidRDefault="00532A5B" w:rsidP="002F24C5">
      <w:r w:rsidRPr="00EE42A7">
        <w:t xml:space="preserve">Establishing and maintaining probity – ethical behaviour – involves applying and complying with the values of </w:t>
      </w:r>
      <w:r w:rsidR="00470A25" w:rsidRPr="00EE42A7">
        <w:t>NT</w:t>
      </w:r>
      <w:r w:rsidR="00091989" w:rsidRPr="00EE42A7">
        <w:t>CS</w:t>
      </w:r>
      <w:r w:rsidRPr="00EE42A7">
        <w:t xml:space="preserve">: integrity, respect, courage, professional excellence, commitment and accountability.  Transparency is a related, but independent concept, which relates to the agency’s willingness to be open, and prepared to be subject to scrutiny about its processes and decisions. </w:t>
      </w:r>
      <w:r w:rsidR="00E16580" w:rsidRPr="00EE42A7">
        <w:t xml:space="preserve"> Probity and transparency in grants administration are </w:t>
      </w:r>
      <w:r w:rsidR="00F165C1" w:rsidRPr="00EE42A7">
        <w:t xml:space="preserve">principally </w:t>
      </w:r>
      <w:r w:rsidR="00E16580" w:rsidRPr="00EE42A7">
        <w:t xml:space="preserve">achieved by ensuring that decisions are impartial, documented, publicly defensible, and lawful, and that processes incorporate appropriate safeguards against fraud, unlawful activity, and other inappropriate conduct.  </w:t>
      </w:r>
    </w:p>
    <w:p w:rsidR="005D73FD" w:rsidRPr="00EE42A7" w:rsidRDefault="00084E80" w:rsidP="002F24C5">
      <w:r w:rsidRPr="00EE42A7">
        <w:t xml:space="preserve">Public reporting is a key method by which both </w:t>
      </w:r>
      <w:r w:rsidR="003E7B7B" w:rsidRPr="00EE42A7">
        <w:t xml:space="preserve">principles are given effect; effective, reliable, and timely disclosure of information helps to provide both the public and parliament with confidence in the quality and worth of a grants program.  </w:t>
      </w:r>
      <w:r w:rsidR="005F55DF" w:rsidRPr="00EE42A7">
        <w:t>Accordingly, d</w:t>
      </w:r>
      <w:r w:rsidR="00E33372" w:rsidRPr="00EE42A7">
        <w:t xml:space="preserve">etails of approved grants, </w:t>
      </w:r>
      <w:r w:rsidR="005F55DF" w:rsidRPr="00EE42A7">
        <w:t xml:space="preserve">identifying </w:t>
      </w:r>
      <w:r w:rsidR="00E33372" w:rsidRPr="00EE42A7">
        <w:t xml:space="preserve">the recipient, amount, and </w:t>
      </w:r>
      <w:r w:rsidR="005D73FD" w:rsidRPr="00EE42A7">
        <w:t xml:space="preserve">basic </w:t>
      </w:r>
      <w:r w:rsidR="00E33372" w:rsidRPr="00EE42A7">
        <w:t>contract details should be published</w:t>
      </w:r>
      <w:r w:rsidR="005F55DF" w:rsidRPr="00EE42A7">
        <w:t xml:space="preserve"> on </w:t>
      </w:r>
      <w:r w:rsidR="009435CE" w:rsidRPr="00EE42A7">
        <w:t xml:space="preserve">the </w:t>
      </w:r>
      <w:r w:rsidR="00470A25" w:rsidRPr="00EE42A7">
        <w:t>NT</w:t>
      </w:r>
      <w:r w:rsidR="00F95234" w:rsidRPr="00EE42A7">
        <w:t>CS</w:t>
      </w:r>
      <w:r w:rsidR="005F55DF" w:rsidRPr="00EE42A7">
        <w:t xml:space="preserve"> website as well as its annual report, unless </w:t>
      </w:r>
      <w:r w:rsidR="00F165C1" w:rsidRPr="00EE42A7">
        <w:t xml:space="preserve">prohibited by </w:t>
      </w:r>
      <w:r w:rsidR="005F55DF" w:rsidRPr="00EE42A7">
        <w:t>a specific policy or legislative reason</w:t>
      </w:r>
      <w:r w:rsidR="005D73FD" w:rsidRPr="00EE42A7">
        <w:t xml:space="preserve">.  </w:t>
      </w:r>
      <w:r w:rsidR="00E33372" w:rsidRPr="00EE42A7">
        <w:t>Details of rejected applications may also be published</w:t>
      </w:r>
      <w:r w:rsidR="005D73FD" w:rsidRPr="00EE42A7">
        <w:t xml:space="preserve"> and </w:t>
      </w:r>
      <w:r w:rsidR="00F165C1" w:rsidRPr="00EE42A7">
        <w:t>can</w:t>
      </w:r>
      <w:r w:rsidR="005D73FD" w:rsidRPr="00EE42A7">
        <w:t xml:space="preserve"> specify </w:t>
      </w:r>
      <w:r w:rsidR="00E33372" w:rsidRPr="00EE42A7">
        <w:t>reason</w:t>
      </w:r>
      <w:r w:rsidR="005D73FD" w:rsidRPr="00EE42A7">
        <w:t>s</w:t>
      </w:r>
      <w:r w:rsidR="00E33372" w:rsidRPr="00EE42A7">
        <w:t xml:space="preserve"> for non-approval.  </w:t>
      </w:r>
      <w:r w:rsidR="005D73FD" w:rsidRPr="00EE42A7">
        <w:t xml:space="preserve">In </w:t>
      </w:r>
      <w:r w:rsidR="00E072A9" w:rsidRPr="00EE42A7">
        <w:t>both</w:t>
      </w:r>
      <w:r w:rsidR="005D73FD" w:rsidRPr="00EE42A7">
        <w:t xml:space="preserve"> instances, the agency should consider what </w:t>
      </w:r>
      <w:r w:rsidR="00E33372" w:rsidRPr="00EE42A7">
        <w:t>information</w:t>
      </w:r>
      <w:r w:rsidR="005D73FD" w:rsidRPr="00EE42A7">
        <w:t>, if any,</w:t>
      </w:r>
      <w:r w:rsidR="00E33372" w:rsidRPr="00EE42A7">
        <w:t xml:space="preserve"> should be treated in confidence</w:t>
      </w:r>
      <w:r w:rsidR="005D73FD" w:rsidRPr="00EE42A7">
        <w:t xml:space="preserve"> under the </w:t>
      </w:r>
      <w:r w:rsidR="005D73FD" w:rsidRPr="00EE42A7">
        <w:rPr>
          <w:i/>
        </w:rPr>
        <w:t>Information Act</w:t>
      </w:r>
      <w:r w:rsidR="005D73FD" w:rsidRPr="00EE42A7">
        <w:t xml:space="preserve"> 2002 (NT).  </w:t>
      </w:r>
      <w:r w:rsidR="00E072A9" w:rsidRPr="00EE42A7">
        <w:t>Nevertheless, the default</w:t>
      </w:r>
      <w:r w:rsidR="00470A25" w:rsidRPr="00EE42A7">
        <w:t xml:space="preserve"> position should be that NT</w:t>
      </w:r>
      <w:r w:rsidR="00E072A9" w:rsidRPr="00EE42A7">
        <w:t xml:space="preserve">CS must report as much information as legally possible regarding its grants activity, in a manner which allows for reasonable access </w:t>
      </w:r>
      <w:r w:rsidR="00F95234" w:rsidRPr="00EE42A7">
        <w:t xml:space="preserve">and scrutiny </w:t>
      </w:r>
      <w:r w:rsidR="00E072A9" w:rsidRPr="00EE42A7">
        <w:t xml:space="preserve">by the public.  </w:t>
      </w:r>
    </w:p>
    <w:p w:rsidR="00461ECA" w:rsidRPr="00EE42A7" w:rsidRDefault="006C6519" w:rsidP="002F24C5">
      <w:r w:rsidRPr="00EE42A7">
        <w:t xml:space="preserve">Maintaining probity and transparency in grants administration </w:t>
      </w:r>
      <w:r w:rsidR="00461ECA" w:rsidRPr="00EE42A7">
        <w:t xml:space="preserve">also requires careful consideration of actual or perceived conflicts of interest.  These arise where a person makes a decision or exercises a power in a manner which may be, or may be perceived to be, influenced by material personal interests (whether financial or non-financial) or material personal associations; any personal bias, obligation, interest or loyalty that </w:t>
      </w:r>
      <w:r w:rsidR="00F30E94" w:rsidRPr="00EE42A7">
        <w:t xml:space="preserve">reasonably </w:t>
      </w:r>
      <w:r w:rsidR="00461ECA" w:rsidRPr="00EE42A7">
        <w:t xml:space="preserve">affects decision-making </w:t>
      </w:r>
      <w:r w:rsidR="00F30E94" w:rsidRPr="00EE42A7">
        <w:t>on anything but the merits m</w:t>
      </w:r>
      <w:r w:rsidR="00461ECA" w:rsidRPr="00EE42A7">
        <w:t xml:space="preserve">ay </w:t>
      </w:r>
      <w:r w:rsidR="00F30E94" w:rsidRPr="00EE42A7">
        <w:t xml:space="preserve">constitute a conflict.  </w:t>
      </w:r>
      <w:r w:rsidR="00461ECA" w:rsidRPr="00EE42A7">
        <w:t xml:space="preserve">Consequently, in order to prevent any inferences of impropriety, </w:t>
      </w:r>
      <w:r w:rsidR="00470A25" w:rsidRPr="00EE42A7">
        <w:t>NT</w:t>
      </w:r>
      <w:r w:rsidR="00A831CE" w:rsidRPr="00EE42A7">
        <w:t>CS</w:t>
      </w:r>
      <w:r w:rsidR="00222B01" w:rsidRPr="00EE42A7">
        <w:t xml:space="preserve"> staff </w:t>
      </w:r>
      <w:r w:rsidR="00F30E94" w:rsidRPr="00EE42A7">
        <w:t>should always</w:t>
      </w:r>
      <w:r w:rsidR="00222B01" w:rsidRPr="00EE42A7">
        <w:t xml:space="preserve"> declare </w:t>
      </w:r>
      <w:r w:rsidR="00F30E94" w:rsidRPr="00EE42A7">
        <w:t xml:space="preserve">if </w:t>
      </w:r>
      <w:r w:rsidR="00222B01" w:rsidRPr="00EE42A7">
        <w:t xml:space="preserve">they have a </w:t>
      </w:r>
      <w:r w:rsidR="00F30E94" w:rsidRPr="00EE42A7">
        <w:t xml:space="preserve">potential </w:t>
      </w:r>
      <w:r w:rsidR="00222B01" w:rsidRPr="00EE42A7">
        <w:t>conflict of interest</w:t>
      </w:r>
      <w:r w:rsidR="00F30E94" w:rsidRPr="00EE42A7">
        <w:t xml:space="preserve">, and </w:t>
      </w:r>
      <w:r w:rsidR="00222B01" w:rsidRPr="00EE42A7">
        <w:t>abstain from any decision</w:t>
      </w:r>
      <w:r w:rsidR="00F30E94" w:rsidRPr="00EE42A7">
        <w:t>-making</w:t>
      </w:r>
      <w:r w:rsidR="00222B01" w:rsidRPr="00EE42A7">
        <w:t xml:space="preserve"> where a conflict is identified. </w:t>
      </w:r>
    </w:p>
    <w:p w:rsidR="00DB478B" w:rsidRPr="00EE42A7" w:rsidRDefault="00AB4AA4" w:rsidP="00FB0F85">
      <w:pPr>
        <w:pStyle w:val="Heading2"/>
      </w:pPr>
      <w:bookmarkStart w:id="12" w:name="_Toc373104414"/>
      <w:r w:rsidRPr="00EE42A7">
        <w:t>Defined Objectives</w:t>
      </w:r>
      <w:bookmarkEnd w:id="12"/>
    </w:p>
    <w:p w:rsidR="00016797" w:rsidRDefault="00016797" w:rsidP="000E37BF">
      <w:r w:rsidRPr="00EE42A7">
        <w:t>Grant projects should be designed to ensure that their objectives are clear and specific, and readily communicate what is to be achieved, assessed, measured, and evaluated.  In order to do this, it is necessary to delineate the inputs, outputs, and outcomes relevant to a granting activity.  These terms can be broadly understood as follows:</w:t>
      </w:r>
    </w:p>
    <w:p w:rsidR="000E37BF" w:rsidRDefault="00016797" w:rsidP="000E37BF">
      <w:pPr>
        <w:pStyle w:val="ListParagraph"/>
        <w:numPr>
          <w:ilvl w:val="0"/>
          <w:numId w:val="9"/>
        </w:numPr>
      </w:pPr>
      <w:r w:rsidRPr="000E37BF">
        <w:rPr>
          <w:i/>
        </w:rPr>
        <w:t>Inputs</w:t>
      </w:r>
      <w:r>
        <w:t xml:space="preserve"> are </w:t>
      </w:r>
      <w:r w:rsidR="00457247">
        <w:t>those things</w:t>
      </w:r>
      <w:r>
        <w:t xml:space="preserve"> consumed to make the grant activity possible </w:t>
      </w:r>
      <w:r w:rsidR="002A652C">
        <w:t xml:space="preserve">(e.g. </w:t>
      </w:r>
      <w:r>
        <w:t xml:space="preserve">time, cash, non-cash resources, </w:t>
      </w:r>
      <w:r w:rsidR="00457247">
        <w:t xml:space="preserve">in-kind support, </w:t>
      </w:r>
      <w:r>
        <w:t>direct and indirect administration costs</w:t>
      </w:r>
      <w:r w:rsidR="002A652C">
        <w:t>)</w:t>
      </w:r>
      <w:r w:rsidR="000E37BF">
        <w:t>;</w:t>
      </w:r>
    </w:p>
    <w:p w:rsidR="000E37BF" w:rsidRDefault="00016797" w:rsidP="000E37BF">
      <w:pPr>
        <w:pStyle w:val="ListParagraph"/>
        <w:numPr>
          <w:ilvl w:val="0"/>
          <w:numId w:val="9"/>
        </w:numPr>
      </w:pPr>
      <w:r w:rsidRPr="000E37BF">
        <w:rPr>
          <w:i/>
        </w:rPr>
        <w:t>Outputs</w:t>
      </w:r>
      <w:r>
        <w:t xml:space="preserve"> </w:t>
      </w:r>
      <w:r w:rsidR="00457247">
        <w:t xml:space="preserve">are </w:t>
      </w:r>
      <w:r w:rsidR="002A652C">
        <w:t>quantifiable</w:t>
      </w:r>
      <w:r>
        <w:t xml:space="preserve"> measures which </w:t>
      </w:r>
      <w:r w:rsidR="002A652C">
        <w:t xml:space="preserve">are able to numerically </w:t>
      </w:r>
      <w:r>
        <w:t xml:space="preserve">express </w:t>
      </w:r>
      <w:r w:rsidR="002A652C">
        <w:t>the extent to which a grant seeks to, or actually achieves operational targets (e.g. the number of clients to be serviced, the number of completed activities); and</w:t>
      </w:r>
    </w:p>
    <w:p w:rsidR="000E37BF" w:rsidRDefault="002A652C" w:rsidP="000E37BF">
      <w:pPr>
        <w:pStyle w:val="ListParagraph"/>
        <w:numPr>
          <w:ilvl w:val="0"/>
          <w:numId w:val="9"/>
        </w:numPr>
      </w:pPr>
      <w:r w:rsidRPr="000E37BF">
        <w:rPr>
          <w:i/>
        </w:rPr>
        <w:t>Outcomes</w:t>
      </w:r>
      <w:r>
        <w:t xml:space="preserve"> are unquantifiable measures which are able to qualitatively express the desired, or actually realised </w:t>
      </w:r>
      <w:r w:rsidR="00D7372C">
        <w:t xml:space="preserve">extent to which a grant meets the </w:t>
      </w:r>
      <w:r w:rsidR="00375D76">
        <w:t xml:space="preserve">strategic and </w:t>
      </w:r>
      <w:r>
        <w:t xml:space="preserve">operational objectives of </w:t>
      </w:r>
      <w:r w:rsidR="00D7372C">
        <w:t>the agency</w:t>
      </w:r>
      <w:r>
        <w:t xml:space="preserve"> </w:t>
      </w:r>
      <w:r w:rsidR="00375D76">
        <w:t xml:space="preserve">(e.g. the </w:t>
      </w:r>
      <w:r w:rsidR="00324107">
        <w:t>impact</w:t>
      </w:r>
      <w:r w:rsidR="00375D76">
        <w:t xml:space="preserve"> of the grant on the public, the quality of the services provided</w:t>
      </w:r>
      <w:r w:rsidR="009A1B20">
        <w:t xml:space="preserve">, </w:t>
      </w:r>
      <w:r w:rsidR="00324107">
        <w:t>the change in a</w:t>
      </w:r>
      <w:r w:rsidR="009A1B20">
        <w:t xml:space="preserve"> client</w:t>
      </w:r>
      <w:r w:rsidR="00324107">
        <w:t>’s capacity, attitude or outlook</w:t>
      </w:r>
      <w:r w:rsidR="00375D76">
        <w:t>).</w:t>
      </w:r>
    </w:p>
    <w:p w:rsidR="000E37BF" w:rsidRDefault="00F90029" w:rsidP="000E37BF">
      <w:r>
        <w:lastRenderedPageBreak/>
        <w:t>Thus g</w:t>
      </w:r>
      <w:r w:rsidR="00AD26A9">
        <w:t xml:space="preserve">rant projects should be designed and </w:t>
      </w:r>
      <w:r w:rsidR="00470A25">
        <w:t xml:space="preserve">implemented so that </w:t>
      </w:r>
      <w:r w:rsidR="00470A25" w:rsidRPr="00EE42A7">
        <w:t>both NT</w:t>
      </w:r>
      <w:r w:rsidR="00AD26A9" w:rsidRPr="00EE42A7">
        <w:t xml:space="preserve">CS and ESP focus on </w:t>
      </w:r>
      <w:r w:rsidR="000F72EA" w:rsidRPr="00EE42A7">
        <w:t xml:space="preserve">achieving </w:t>
      </w:r>
      <w:r w:rsidR="00AD26A9" w:rsidRPr="00EE42A7">
        <w:rPr>
          <w:i/>
        </w:rPr>
        <w:t>outcomes</w:t>
      </w:r>
      <w:r w:rsidR="00AD26A9" w:rsidRPr="00EE42A7">
        <w:t xml:space="preserve"> and </w:t>
      </w:r>
      <w:r w:rsidR="00AD26A9" w:rsidRPr="00EE42A7">
        <w:rPr>
          <w:i/>
        </w:rPr>
        <w:t>outputs</w:t>
      </w:r>
      <w:r w:rsidR="00AD26A9" w:rsidRPr="00EE42A7">
        <w:t xml:space="preserve"> for beneficiaries, whi</w:t>
      </w:r>
      <w:r w:rsidR="000E37BF" w:rsidRPr="00EE42A7">
        <w:t xml:space="preserve">lst seeking to most efficiently </w:t>
      </w:r>
      <w:r w:rsidR="00AD26A9" w:rsidRPr="00EE42A7">
        <w:t xml:space="preserve">and effectively utilise their respective </w:t>
      </w:r>
      <w:r w:rsidR="00AD26A9" w:rsidRPr="00EE42A7">
        <w:rPr>
          <w:i/>
        </w:rPr>
        <w:t>inputs</w:t>
      </w:r>
      <w:r w:rsidR="00AD26A9" w:rsidRPr="00EE42A7">
        <w:t xml:space="preserve">.  </w:t>
      </w:r>
      <w:r w:rsidR="0026380B" w:rsidRPr="00EE42A7">
        <w:t>Bear in mind that awarding a grant or consuming</w:t>
      </w:r>
      <w:r w:rsidR="0026380B">
        <w:t xml:space="preserve"> inputs does not, in and of itself, secure the delivery of desired outputs and outcomes.  </w:t>
      </w:r>
      <w:r w:rsidR="000E37BF">
        <w:t>Thus</w:t>
      </w:r>
      <w:r w:rsidR="0026380B">
        <w:t xml:space="preserve">, it is essential to describe the inputs, outputs, and outcomes relevant to a granting activity from the outset, to facilitate </w:t>
      </w:r>
      <w:r w:rsidR="000E37BF">
        <w:t xml:space="preserve">ongoing, </w:t>
      </w:r>
      <w:r w:rsidR="0026380B">
        <w:t xml:space="preserve">effective and efficient evaluation of the services and activities funded by </w:t>
      </w:r>
      <w:r w:rsidR="00022F83">
        <w:t>a</w:t>
      </w:r>
      <w:r w:rsidR="0026380B">
        <w:t xml:space="preserve"> grant.  </w:t>
      </w:r>
    </w:p>
    <w:p w:rsidR="002F24C5" w:rsidRDefault="00511BF6" w:rsidP="000E37BF">
      <w:pPr>
        <w:pStyle w:val="Heading2"/>
      </w:pPr>
      <w:bookmarkStart w:id="13" w:name="_Toc373104415"/>
      <w:r>
        <w:t xml:space="preserve">Robust Record-Keeping and </w:t>
      </w:r>
      <w:r w:rsidR="00461CA9">
        <w:t>Accounting</w:t>
      </w:r>
      <w:bookmarkEnd w:id="13"/>
    </w:p>
    <w:p w:rsidR="001A2D37" w:rsidRDefault="001A2D37" w:rsidP="001A2D37">
      <w:r>
        <w:t xml:space="preserve">Ministers, chief executives, agency staff and </w:t>
      </w:r>
      <w:r w:rsidR="001628F2">
        <w:t>ESPs</w:t>
      </w:r>
      <w:r>
        <w:t xml:space="preserve"> all have their respective roles to play in achieving specific government objectives and should be held accountable for the ways in which they fulfil their roles.  </w:t>
      </w:r>
      <w:r w:rsidR="001628F2">
        <w:t>T</w:t>
      </w:r>
      <w:r>
        <w:t xml:space="preserve">his accountability </w:t>
      </w:r>
      <w:r w:rsidR="001628F2">
        <w:t xml:space="preserve">is enabled in no small part by robust record-keeping and adherence to recognised accounting protocols.  </w:t>
      </w:r>
    </w:p>
    <w:p w:rsidR="00342309" w:rsidRDefault="009E6A34" w:rsidP="00C31E5C">
      <w:r>
        <w:t>First and foremost, d</w:t>
      </w:r>
      <w:r w:rsidR="00C31E5C">
        <w:t xml:space="preserve">ocumentation and relevant </w:t>
      </w:r>
      <w:r w:rsidR="00E921F6">
        <w:t>files</w:t>
      </w:r>
      <w:r w:rsidR="00C31E5C">
        <w:t xml:space="preserve"> should be maintained </w:t>
      </w:r>
      <w:r>
        <w:t>with the same rigour applied to financial records and transactions; this includes</w:t>
      </w:r>
      <w:r w:rsidR="004E59D0">
        <w:t xml:space="preserve"> </w:t>
      </w:r>
      <w:r>
        <w:t xml:space="preserve">written communications between the parties, file notes, financial acquittal statements, performance reports, </w:t>
      </w:r>
      <w:r w:rsidR="004E59D0">
        <w:t xml:space="preserve">and </w:t>
      </w:r>
      <w:r>
        <w:t>milestone documentation</w:t>
      </w:r>
      <w:r w:rsidR="00A66E8F">
        <w:t xml:space="preserve"> – not </w:t>
      </w:r>
      <w:r w:rsidR="00E921F6">
        <w:t>only</w:t>
      </w:r>
      <w:r w:rsidR="00A66E8F">
        <w:t xml:space="preserve"> </w:t>
      </w:r>
      <w:r w:rsidR="00533827">
        <w:t xml:space="preserve">copies of </w:t>
      </w:r>
      <w:r w:rsidR="003B5271">
        <w:t>executed grant F</w:t>
      </w:r>
      <w:r>
        <w:t xml:space="preserve">unding </w:t>
      </w:r>
      <w:r w:rsidR="003B5271">
        <w:t>C</w:t>
      </w:r>
      <w:r w:rsidR="004E59D0">
        <w:t xml:space="preserve">ontracts.  </w:t>
      </w:r>
      <w:r w:rsidR="00235F1F">
        <w:t xml:space="preserve">This information should be archived systematically and made accessible for current and future reference.  </w:t>
      </w:r>
      <w:r w:rsidR="00296146">
        <w:t>Moreover, p</w:t>
      </w:r>
      <w:r w:rsidR="004E59D0">
        <w:t xml:space="preserve">articularly during reviews and audits, records </w:t>
      </w:r>
      <w:r w:rsidR="00296146">
        <w:t xml:space="preserve">of </w:t>
      </w:r>
      <w:r w:rsidR="004E59D0">
        <w:t xml:space="preserve">decision making </w:t>
      </w:r>
      <w:r w:rsidR="00296146">
        <w:t xml:space="preserve">processes </w:t>
      </w:r>
      <w:r w:rsidR="00E921F6">
        <w:t xml:space="preserve">and reasoning applied </w:t>
      </w:r>
      <w:r w:rsidR="004E59D0">
        <w:t>are as significant as final determinations</w:t>
      </w:r>
      <w:r w:rsidR="00296146">
        <w:t xml:space="preserve">; </w:t>
      </w:r>
      <w:r w:rsidR="00E921F6">
        <w:t xml:space="preserve">these </w:t>
      </w:r>
      <w:r w:rsidR="004E59D0">
        <w:t xml:space="preserve">should be recorded at all stages of establishing a grant project, considering applications, monitoring compliance and evaluating performance.  </w:t>
      </w:r>
    </w:p>
    <w:p w:rsidR="00FC4DEC" w:rsidRDefault="00533827" w:rsidP="00E707EF">
      <w:r>
        <w:t xml:space="preserve">Utilisation of best practice </w:t>
      </w:r>
      <w:r w:rsidRPr="00EE42A7">
        <w:t xml:space="preserve">accounting methodologies also </w:t>
      </w:r>
      <w:r w:rsidR="00366EF4" w:rsidRPr="00EE42A7">
        <w:t>promotes</w:t>
      </w:r>
      <w:r w:rsidRPr="00EE42A7">
        <w:t xml:space="preserve"> good grants</w:t>
      </w:r>
      <w:r w:rsidR="00366EF4" w:rsidRPr="00EE42A7">
        <w:t xml:space="preserve"> manage</w:t>
      </w:r>
      <w:r w:rsidR="00470A25" w:rsidRPr="00EE42A7">
        <w:t>ment.  Most pertinently, NT</w:t>
      </w:r>
      <w:r w:rsidR="00366EF4" w:rsidRPr="00EE42A7">
        <w:t>CS should adopt usage of the National Standard Chart of Accounts and Data Dictionary (SCOA)</w:t>
      </w:r>
      <w:r w:rsidR="00B50D55" w:rsidRPr="00EE42A7">
        <w:rPr>
          <w:rStyle w:val="FootnoteReference"/>
        </w:rPr>
        <w:footnoteReference w:id="4"/>
      </w:r>
      <w:r w:rsidR="00366EF4" w:rsidRPr="00EE42A7">
        <w:t xml:space="preserve"> as the default standard applicable to </w:t>
      </w:r>
      <w:r w:rsidR="005B5B13" w:rsidRPr="00EE42A7">
        <w:t xml:space="preserve">the </w:t>
      </w:r>
      <w:r w:rsidR="00366EF4" w:rsidRPr="00EE42A7">
        <w:t xml:space="preserve">financial </w:t>
      </w:r>
      <w:r w:rsidR="005B5B13" w:rsidRPr="00EE42A7">
        <w:t xml:space="preserve">components </w:t>
      </w:r>
      <w:r w:rsidR="00366EF4" w:rsidRPr="00EE42A7">
        <w:t>of</w:t>
      </w:r>
      <w:r w:rsidR="005B5B13" w:rsidRPr="00EE42A7">
        <w:t xml:space="preserve"> its </w:t>
      </w:r>
      <w:r w:rsidR="00260DEE" w:rsidRPr="00EE42A7">
        <w:t xml:space="preserve">end-to-end </w:t>
      </w:r>
      <w:r w:rsidR="005B5B13" w:rsidRPr="00EE42A7">
        <w:t>grants work.</w:t>
      </w:r>
      <w:r w:rsidR="00B50D55" w:rsidRPr="00EE42A7">
        <w:rPr>
          <w:rStyle w:val="FootnoteReference"/>
        </w:rPr>
        <w:footnoteReference w:id="5"/>
      </w:r>
      <w:r w:rsidR="005B5B13" w:rsidRPr="00EE42A7">
        <w:t xml:space="preserve"> </w:t>
      </w:r>
      <w:r w:rsidR="00E707EF" w:rsidRPr="00EE42A7">
        <w:t>D</w:t>
      </w:r>
      <w:r w:rsidR="00470A25" w:rsidRPr="00EE42A7">
        <w:t>oing so will ensure that NT</w:t>
      </w:r>
      <w:r w:rsidR="00E707EF" w:rsidRPr="00EE42A7">
        <w:t>CS receives consistent, comparable, and standardised financial data, allowing it to undertake more accurate assessments, analysis and evaluations – which in turn will lead to better</w:t>
      </w:r>
      <w:r w:rsidR="00E707EF">
        <w:t xml:space="preserve"> and more targeted policy development vis-à-vis achieving agency objectives via grants.  </w:t>
      </w:r>
      <w:r w:rsidR="00F2044B">
        <w:t xml:space="preserve">For ESPs the SCOA will likewise provide a consistent accounting framework for bookkeepers and volunteers and reduce compliance and administrative costs associated with government reporting processes – particularly for those servicing multiple NTG or Commonwealth agencies.  </w:t>
      </w:r>
    </w:p>
    <w:p w:rsidR="00B41948" w:rsidRDefault="00B41948" w:rsidP="00B41948"/>
    <w:p w:rsidR="00B41948" w:rsidRDefault="00B41948">
      <w:r>
        <w:br w:type="page"/>
      </w:r>
    </w:p>
    <w:p w:rsidR="00B41948" w:rsidRDefault="00B41948" w:rsidP="00B6581B">
      <w:pPr>
        <w:pStyle w:val="Heading1"/>
      </w:pPr>
      <w:bookmarkStart w:id="14" w:name="_Toc373104416"/>
      <w:r>
        <w:lastRenderedPageBreak/>
        <w:t>Establishing a Grant Project</w:t>
      </w:r>
      <w:bookmarkEnd w:id="14"/>
    </w:p>
    <w:p w:rsidR="00077407" w:rsidRDefault="00077407" w:rsidP="00E92868">
      <w:r>
        <w:t xml:space="preserve">Establishing a grant project is the </w:t>
      </w:r>
      <w:r w:rsidR="00E92868">
        <w:t>first stage in the end-to-end g</w:t>
      </w:r>
      <w:r>
        <w:t>rants process.  A project must be well defined, justifiable, and developed via a consistent workflow.  These aims are achieved through the creation of a business case, consideration of eligibility, design of a clear statement of requirements, and following uniform protocols for approval and publication of the project</w:t>
      </w:r>
      <w:r w:rsidR="00022460">
        <w:t xml:space="preserve">.  </w:t>
      </w:r>
    </w:p>
    <w:p w:rsidR="00B6581B" w:rsidRPr="00FB0F85" w:rsidRDefault="00B6581B" w:rsidP="00FB0F85">
      <w:pPr>
        <w:pStyle w:val="Heading2"/>
      </w:pPr>
      <w:bookmarkStart w:id="15" w:name="_Toc373104417"/>
      <w:r w:rsidRPr="00FB0F85">
        <w:t>Business Case</w:t>
      </w:r>
      <w:bookmarkEnd w:id="15"/>
    </w:p>
    <w:p w:rsidR="00A1498D" w:rsidRDefault="00E5422E" w:rsidP="00A1498D">
      <w:pPr>
        <w:pStyle w:val="BoxedText"/>
      </w:pPr>
      <w:r>
        <w:t>The purpose of the business case is to determine whether the need for a grant project has been thoroughly established.</w:t>
      </w:r>
      <w:r w:rsidR="00AB4024">
        <w:rPr>
          <w:rStyle w:val="FootnoteReference"/>
        </w:rPr>
        <w:footnoteReference w:id="6"/>
      </w:r>
      <w:r>
        <w:t xml:space="preserve">  </w:t>
      </w:r>
    </w:p>
    <w:p w:rsidR="00E94B68" w:rsidRDefault="00E5422E" w:rsidP="00E5422E">
      <w:r>
        <w:t>The business case should articulate:</w:t>
      </w:r>
    </w:p>
    <w:p w:rsidR="00E5422E" w:rsidRDefault="00E5422E" w:rsidP="00E5422E">
      <w:pPr>
        <w:pStyle w:val="ListParagraph"/>
        <w:numPr>
          <w:ilvl w:val="0"/>
          <w:numId w:val="9"/>
        </w:numPr>
      </w:pPr>
      <w:r>
        <w:t>Wh</w:t>
      </w:r>
      <w:r w:rsidR="0044368D">
        <w:t>at</w:t>
      </w:r>
      <w:r>
        <w:t xml:space="preserve"> </w:t>
      </w:r>
      <w:r w:rsidR="0044368D">
        <w:t>the public need is for th</w:t>
      </w:r>
      <w:r w:rsidR="009D5FB4">
        <w:t xml:space="preserve">e </w:t>
      </w:r>
      <w:r>
        <w:t>project;</w:t>
      </w:r>
    </w:p>
    <w:p w:rsidR="00337862" w:rsidRDefault="00337862" w:rsidP="00337862">
      <w:pPr>
        <w:pStyle w:val="ListParagraph"/>
        <w:numPr>
          <w:ilvl w:val="0"/>
          <w:numId w:val="9"/>
        </w:numPr>
      </w:pPr>
      <w:r>
        <w:t>Who will be the targets group</w:t>
      </w:r>
      <w:r w:rsidR="00BB248D">
        <w:t>/</w:t>
      </w:r>
      <w:r>
        <w:t>s of beneficiaries who would benefit from the project;</w:t>
      </w:r>
    </w:p>
    <w:p w:rsidR="00337862" w:rsidRDefault="00337862" w:rsidP="00337862">
      <w:pPr>
        <w:pStyle w:val="ListParagraph"/>
        <w:numPr>
          <w:ilvl w:val="0"/>
          <w:numId w:val="9"/>
        </w:numPr>
      </w:pPr>
      <w:r>
        <w:t>What will be the target issue</w:t>
      </w:r>
      <w:r w:rsidR="00BB248D">
        <w:t>/</w:t>
      </w:r>
      <w:r>
        <w:t>s addressed by the project;</w:t>
      </w:r>
    </w:p>
    <w:p w:rsidR="00E5422E" w:rsidRDefault="00E5422E" w:rsidP="00E5422E">
      <w:pPr>
        <w:pStyle w:val="ListParagraph"/>
        <w:numPr>
          <w:ilvl w:val="0"/>
          <w:numId w:val="9"/>
        </w:numPr>
      </w:pPr>
      <w:r>
        <w:t>How the project is aligned to the agency’s strategic intent;</w:t>
      </w:r>
    </w:p>
    <w:p w:rsidR="009D5FB4" w:rsidRDefault="009D5FB4" w:rsidP="009D5FB4">
      <w:pPr>
        <w:pStyle w:val="ListParagraph"/>
        <w:numPr>
          <w:ilvl w:val="0"/>
          <w:numId w:val="9"/>
        </w:numPr>
      </w:pPr>
      <w:r>
        <w:t xml:space="preserve">What quantum of funds will be required to finance the project; </w:t>
      </w:r>
    </w:p>
    <w:p w:rsidR="009D5FB4" w:rsidRDefault="00160D61" w:rsidP="009D5FB4">
      <w:pPr>
        <w:pStyle w:val="ListParagraph"/>
        <w:numPr>
          <w:ilvl w:val="0"/>
          <w:numId w:val="9"/>
        </w:numPr>
      </w:pPr>
      <w:r>
        <w:t>What</w:t>
      </w:r>
      <w:r w:rsidR="009D5FB4">
        <w:t xml:space="preserve"> </w:t>
      </w:r>
      <w:r>
        <w:t xml:space="preserve">the </w:t>
      </w:r>
      <w:r w:rsidR="009D5FB4">
        <w:t xml:space="preserve">source of funds </w:t>
      </w:r>
      <w:r>
        <w:t xml:space="preserve">will be to </w:t>
      </w:r>
      <w:r w:rsidR="009D5FB4">
        <w:t>finance the project;</w:t>
      </w:r>
    </w:p>
    <w:p w:rsidR="00E5422E" w:rsidRDefault="00E5422E" w:rsidP="00E5422E">
      <w:pPr>
        <w:pStyle w:val="ListParagraph"/>
        <w:numPr>
          <w:ilvl w:val="0"/>
          <w:numId w:val="9"/>
        </w:numPr>
      </w:pPr>
      <w:r>
        <w:t>What input</w:t>
      </w:r>
      <w:r w:rsidR="00BB248D">
        <w:t>/</w:t>
      </w:r>
      <w:r>
        <w:t xml:space="preserve">s will be consumed </w:t>
      </w:r>
      <w:r w:rsidR="009D5FB4">
        <w:t>by the project;</w:t>
      </w:r>
    </w:p>
    <w:p w:rsidR="0044368D" w:rsidRDefault="0044368D" w:rsidP="0044368D">
      <w:pPr>
        <w:pStyle w:val="ListParagraph"/>
        <w:numPr>
          <w:ilvl w:val="0"/>
          <w:numId w:val="9"/>
        </w:numPr>
      </w:pPr>
      <w:r>
        <w:t>What outcome</w:t>
      </w:r>
      <w:r w:rsidR="00BB248D">
        <w:t>/</w:t>
      </w:r>
      <w:r>
        <w:t xml:space="preserve">s </w:t>
      </w:r>
      <w:r w:rsidR="003F72FF">
        <w:t>should</w:t>
      </w:r>
      <w:r>
        <w:t xml:space="preserve"> be satisfied by ESPs for the beneficiaries of the project; </w:t>
      </w:r>
    </w:p>
    <w:p w:rsidR="00E5422E" w:rsidRDefault="009D5FB4" w:rsidP="003F72FF">
      <w:pPr>
        <w:pStyle w:val="ListParagraph"/>
        <w:numPr>
          <w:ilvl w:val="0"/>
          <w:numId w:val="9"/>
        </w:numPr>
      </w:pPr>
      <w:r>
        <w:t>What output</w:t>
      </w:r>
      <w:r w:rsidR="00BB248D">
        <w:t>/</w:t>
      </w:r>
      <w:r>
        <w:t xml:space="preserve">s, and how many units of them, </w:t>
      </w:r>
      <w:r w:rsidR="003F72FF">
        <w:t>should</w:t>
      </w:r>
      <w:r>
        <w:t xml:space="preserve"> be satisfied by ESPs for the beneficiaries of the project; </w:t>
      </w:r>
    </w:p>
    <w:p w:rsidR="009D5FB4" w:rsidRDefault="009D5FB4" w:rsidP="009D5FB4">
      <w:pPr>
        <w:pStyle w:val="ListParagraph"/>
        <w:numPr>
          <w:ilvl w:val="0"/>
          <w:numId w:val="9"/>
        </w:numPr>
      </w:pPr>
      <w:r>
        <w:t>What change is expected as a result of th</w:t>
      </w:r>
      <w:r w:rsidR="00160D61">
        <w:t>e</w:t>
      </w:r>
      <w:r>
        <w:t xml:space="preserve"> project</w:t>
      </w:r>
      <w:r w:rsidR="00160D61">
        <w:t xml:space="preserve">, and what the consequences of not creating the project would be; </w:t>
      </w:r>
    </w:p>
    <w:p w:rsidR="009D5FB4" w:rsidRDefault="00160D61" w:rsidP="00E5422E">
      <w:pPr>
        <w:pStyle w:val="ListParagraph"/>
        <w:numPr>
          <w:ilvl w:val="0"/>
          <w:numId w:val="9"/>
        </w:numPr>
      </w:pPr>
      <w:r>
        <w:t xml:space="preserve">Whether the objectives of the project will be achieved in a cost-effective manner, or could be </w:t>
      </w:r>
      <w:r w:rsidR="003F72FF">
        <w:t xml:space="preserve">better </w:t>
      </w:r>
      <w:r>
        <w:t>addressed by a financial arrangement other than a grant;</w:t>
      </w:r>
    </w:p>
    <w:p w:rsidR="003F72FF" w:rsidRDefault="00160D61" w:rsidP="003F72FF">
      <w:pPr>
        <w:pStyle w:val="ListParagraph"/>
        <w:numPr>
          <w:ilvl w:val="0"/>
          <w:numId w:val="9"/>
        </w:numPr>
      </w:pPr>
      <w:r>
        <w:t>Wh</w:t>
      </w:r>
      <w:r w:rsidR="003F72FF">
        <w:t xml:space="preserve">en the project </w:t>
      </w:r>
      <w:r w:rsidR="00BB248D">
        <w:t>will</w:t>
      </w:r>
      <w:r>
        <w:t xml:space="preserve"> start and end</w:t>
      </w:r>
      <w:r w:rsidR="003F72FF">
        <w:t>, a</w:t>
      </w:r>
      <w:r w:rsidR="0010611E">
        <w:t xml:space="preserve">nd when within that period applications should be </w:t>
      </w:r>
      <w:r w:rsidR="003F72FF">
        <w:t>accepted</w:t>
      </w:r>
      <w:r w:rsidR="0010611E">
        <w:t>;</w:t>
      </w:r>
      <w:r w:rsidR="00F77FF2">
        <w:t xml:space="preserve"> and</w:t>
      </w:r>
    </w:p>
    <w:p w:rsidR="00C45802" w:rsidRPr="00EE42A7" w:rsidRDefault="00470A25" w:rsidP="001365C8">
      <w:pPr>
        <w:pStyle w:val="ListParagraph"/>
        <w:numPr>
          <w:ilvl w:val="0"/>
          <w:numId w:val="9"/>
        </w:numPr>
      </w:pPr>
      <w:r>
        <w:t xml:space="preserve">Whether </w:t>
      </w:r>
      <w:r w:rsidRPr="00EE42A7">
        <w:t>similar NT</w:t>
      </w:r>
      <w:r w:rsidR="00C45802" w:rsidRPr="00EE42A7">
        <w:t>CS</w:t>
      </w:r>
      <w:r w:rsidR="000661DE" w:rsidRPr="00EE42A7">
        <w:t xml:space="preserve">, </w:t>
      </w:r>
      <w:r w:rsidR="00C45802" w:rsidRPr="00EE42A7">
        <w:t xml:space="preserve">NTG </w:t>
      </w:r>
      <w:r w:rsidR="000661DE" w:rsidRPr="00EE42A7">
        <w:t xml:space="preserve">or Commonwealth </w:t>
      </w:r>
      <w:r w:rsidR="00C45802" w:rsidRPr="00EE42A7">
        <w:t xml:space="preserve">projects exist, and </w:t>
      </w:r>
      <w:r w:rsidR="001365C8" w:rsidRPr="00EE42A7">
        <w:t xml:space="preserve">if so a) </w:t>
      </w:r>
      <w:r w:rsidR="00C45802" w:rsidRPr="00EE42A7">
        <w:t>the degree to which these have been successful</w:t>
      </w:r>
      <w:r w:rsidR="001365C8" w:rsidRPr="00EE42A7">
        <w:t xml:space="preserve">, </w:t>
      </w:r>
      <w:r w:rsidR="00337862" w:rsidRPr="00EE42A7">
        <w:t xml:space="preserve">and </w:t>
      </w:r>
      <w:r w:rsidR="001365C8" w:rsidRPr="00EE42A7">
        <w:t xml:space="preserve">b) </w:t>
      </w:r>
      <w:r w:rsidR="000661DE" w:rsidRPr="00EE42A7">
        <w:t>whether</w:t>
      </w:r>
      <w:r w:rsidR="00C45802" w:rsidRPr="00EE42A7">
        <w:t xml:space="preserve"> the proposed new project will </w:t>
      </w:r>
      <w:r w:rsidR="00124565" w:rsidRPr="00EE42A7">
        <w:t>complement</w:t>
      </w:r>
      <w:r w:rsidR="00337862" w:rsidRPr="00EE42A7">
        <w:t xml:space="preserve"> and not duplicate or conflict with </w:t>
      </w:r>
      <w:r w:rsidR="00F77FF2" w:rsidRPr="00EE42A7">
        <w:t>existing projects.</w:t>
      </w:r>
    </w:p>
    <w:p w:rsidR="008F4BA1" w:rsidRPr="00EE42A7" w:rsidRDefault="008F4BA1" w:rsidP="0032006D">
      <w:pPr>
        <w:pStyle w:val="NoSpacing"/>
      </w:pPr>
      <w:r w:rsidRPr="00EE42A7">
        <w:t>Additionally:</w:t>
      </w:r>
    </w:p>
    <w:p w:rsidR="00AB4024" w:rsidRPr="00EE42A7" w:rsidRDefault="00AB4024" w:rsidP="00AB4024">
      <w:pPr>
        <w:pStyle w:val="NoSpacing"/>
        <w:numPr>
          <w:ilvl w:val="0"/>
          <w:numId w:val="9"/>
        </w:numPr>
      </w:pPr>
      <w:r w:rsidRPr="00EE42A7">
        <w:t>Take time to d</w:t>
      </w:r>
      <w:r w:rsidR="008F4BA1" w:rsidRPr="00EE42A7">
        <w:t>evelop a robust business case before progressing to the approval or publication stage of a grant project</w:t>
      </w:r>
      <w:r w:rsidR="007D7C05" w:rsidRPr="00EE42A7">
        <w:t xml:space="preserve">; </w:t>
      </w:r>
    </w:p>
    <w:p w:rsidR="00AB4024" w:rsidRPr="00EE42A7" w:rsidRDefault="00AB4024" w:rsidP="003E41B7">
      <w:pPr>
        <w:pStyle w:val="NoSpacing"/>
        <w:numPr>
          <w:ilvl w:val="0"/>
          <w:numId w:val="9"/>
        </w:numPr>
      </w:pPr>
      <w:r w:rsidRPr="00EE42A7">
        <w:t xml:space="preserve">Seek </w:t>
      </w:r>
      <w:r w:rsidR="008F4BA1" w:rsidRPr="00EE42A7">
        <w:t>guidance within the agency</w:t>
      </w:r>
      <w:r w:rsidRPr="00EE42A7">
        <w:t xml:space="preserve"> but also externally for s</w:t>
      </w:r>
      <w:r w:rsidR="008F4BA1" w:rsidRPr="00EE42A7">
        <w:t xml:space="preserve">pecialist advice </w:t>
      </w:r>
      <w:r w:rsidRPr="00EE42A7">
        <w:t>if necessary (bearing in mind that few grant schemes are entirely new)</w:t>
      </w:r>
      <w:r w:rsidR="007D7C05" w:rsidRPr="00EE42A7">
        <w:t xml:space="preserve">; </w:t>
      </w:r>
    </w:p>
    <w:p w:rsidR="005C5F9E" w:rsidRPr="00EE42A7" w:rsidRDefault="00AB4024" w:rsidP="00173404">
      <w:pPr>
        <w:pStyle w:val="NoSpacing"/>
        <w:numPr>
          <w:ilvl w:val="0"/>
          <w:numId w:val="9"/>
        </w:numPr>
      </w:pPr>
      <w:r w:rsidRPr="00EE42A7">
        <w:t>Consult evaluations of similar, past projects to inform the design and parameters of the proposed project</w:t>
      </w:r>
      <w:r w:rsidR="007D7C05" w:rsidRPr="00EE42A7">
        <w:t xml:space="preserve">; </w:t>
      </w:r>
      <w:r w:rsidR="00450828" w:rsidRPr="00EE42A7">
        <w:t>and</w:t>
      </w:r>
    </w:p>
    <w:p w:rsidR="00173404" w:rsidRPr="00EE42A7" w:rsidRDefault="00830C9C" w:rsidP="003E41B7">
      <w:pPr>
        <w:pStyle w:val="NoSpacing"/>
        <w:numPr>
          <w:ilvl w:val="0"/>
          <w:numId w:val="9"/>
        </w:numPr>
      </w:pPr>
      <w:r w:rsidRPr="00EE42A7">
        <w:t>Be aware of, and if relevant i</w:t>
      </w:r>
      <w:r w:rsidR="00173404" w:rsidRPr="00EE42A7">
        <w:t>dentify</w:t>
      </w:r>
      <w:r w:rsidRPr="00EE42A7">
        <w:t>,</w:t>
      </w:r>
      <w:r w:rsidR="00173404" w:rsidRPr="00EE42A7">
        <w:t xml:space="preserve"> potential legal risks that may arise including the likelihood of personal injury, property</w:t>
      </w:r>
      <w:r w:rsidR="00173404">
        <w:t xml:space="preserve"> damage, or defamation; possibilities for breach </w:t>
      </w:r>
      <w:r w:rsidR="00173404">
        <w:lastRenderedPageBreak/>
        <w:t>of legislation, contract, and intellectual property rights; and non-legal risks such as financial a</w:t>
      </w:r>
      <w:r w:rsidR="00470A25">
        <w:t xml:space="preserve">nd reputational risks </w:t>
      </w:r>
      <w:r w:rsidR="00470A25" w:rsidRPr="00EE42A7">
        <w:t>to NT</w:t>
      </w:r>
      <w:r w:rsidR="00173404" w:rsidRPr="00EE42A7">
        <w:t>CS.</w:t>
      </w:r>
      <w:r w:rsidR="005C5F9E" w:rsidRPr="00EE42A7">
        <w:rPr>
          <w:rStyle w:val="FootnoteReference"/>
        </w:rPr>
        <w:footnoteReference w:id="7"/>
      </w:r>
      <w:r w:rsidR="00173404" w:rsidRPr="00EE42A7">
        <w:t xml:space="preserve">  </w:t>
      </w:r>
    </w:p>
    <w:p w:rsidR="009465C6" w:rsidRDefault="009465C6" w:rsidP="009465C6">
      <w:pPr>
        <w:pStyle w:val="NoSpacing"/>
      </w:pPr>
    </w:p>
    <w:p w:rsidR="0088531E" w:rsidRPr="00FB0F85" w:rsidRDefault="0088531E" w:rsidP="009465C6">
      <w:pPr>
        <w:pStyle w:val="Heading2"/>
      </w:pPr>
      <w:bookmarkStart w:id="16" w:name="_Toc373104418"/>
      <w:r w:rsidRPr="00FB0F85">
        <w:t>Eligibility</w:t>
      </w:r>
      <w:bookmarkEnd w:id="16"/>
    </w:p>
    <w:p w:rsidR="006674E8" w:rsidRDefault="006674E8" w:rsidP="00B530D9">
      <w:pPr>
        <w:pStyle w:val="BoxedText"/>
      </w:pPr>
      <w:r>
        <w:t>ESP eligibility to apply for funding to achieve the objectives of the project should be as broad as practicable, in order to generate a high level of interest from prospective applicants and encourage competition in the service-provision sector.</w:t>
      </w:r>
    </w:p>
    <w:p w:rsidR="00514281" w:rsidRDefault="00685878" w:rsidP="00514281">
      <w:r>
        <w:t>In determining who should be eligible to apply, note that:</w:t>
      </w:r>
    </w:p>
    <w:p w:rsidR="00685878" w:rsidRDefault="00685878" w:rsidP="00514281">
      <w:pPr>
        <w:pStyle w:val="ListParagraph"/>
        <w:numPr>
          <w:ilvl w:val="0"/>
          <w:numId w:val="9"/>
        </w:numPr>
      </w:pPr>
      <w:r>
        <w:t>ESPs are not required to have a prior funding relationship with the NTG;</w:t>
      </w:r>
    </w:p>
    <w:p w:rsidR="0088531E" w:rsidRDefault="00685878" w:rsidP="00514281">
      <w:pPr>
        <w:pStyle w:val="ListParagraph"/>
        <w:numPr>
          <w:ilvl w:val="0"/>
          <w:numId w:val="9"/>
        </w:numPr>
      </w:pPr>
      <w:r>
        <w:t>ESPs must be a legal entity, n</w:t>
      </w:r>
      <w:r w:rsidR="008F6A04">
        <w:t>ot an individual</w:t>
      </w:r>
      <w:r>
        <w:t>, collection of natural persons,</w:t>
      </w:r>
      <w:r w:rsidR="008F6A04">
        <w:t xml:space="preserve"> or unincorporated body</w:t>
      </w:r>
      <w:r>
        <w:t xml:space="preserve">; </w:t>
      </w:r>
    </w:p>
    <w:p w:rsidR="00653302" w:rsidRDefault="00653302" w:rsidP="003E41B7">
      <w:pPr>
        <w:pStyle w:val="ListParagraph"/>
        <w:numPr>
          <w:ilvl w:val="0"/>
          <w:numId w:val="9"/>
        </w:numPr>
      </w:pPr>
      <w:r>
        <w:t>ESP eligibility should be considered and offered in classes; that is, to all Aboriginal Corporations, or Corporations, or Incorporated Associations, or Partnerships, or Trusts, or Statutory Bodies;</w:t>
      </w:r>
    </w:p>
    <w:p w:rsidR="00653302" w:rsidRDefault="00653302" w:rsidP="003E41B7">
      <w:pPr>
        <w:pStyle w:val="ListParagraph"/>
        <w:numPr>
          <w:ilvl w:val="0"/>
          <w:numId w:val="9"/>
        </w:numPr>
      </w:pPr>
      <w:r>
        <w:t>A selected ESP, or multiple particular ESPs, may be identified to be eligible in addition to, or in place of a class of ESPs; and</w:t>
      </w:r>
    </w:p>
    <w:p w:rsidR="00407871" w:rsidRPr="00407871" w:rsidRDefault="0088531E" w:rsidP="003E41B7">
      <w:pPr>
        <w:pStyle w:val="ListParagraph"/>
        <w:numPr>
          <w:ilvl w:val="0"/>
          <w:numId w:val="9"/>
        </w:numPr>
      </w:pPr>
      <w:r>
        <w:t xml:space="preserve">The </w:t>
      </w:r>
      <w:r w:rsidR="007E7AC4">
        <w:t>agency</w:t>
      </w:r>
      <w:r>
        <w:t xml:space="preserve"> will enter into contractual relatio</w:t>
      </w:r>
      <w:r w:rsidR="00653302">
        <w:t>nships only with a single entity and not a consortium (</w:t>
      </w:r>
      <w:r>
        <w:t xml:space="preserve">though an </w:t>
      </w:r>
      <w:r w:rsidR="00502D34">
        <w:t>ESP</w:t>
      </w:r>
      <w:r>
        <w:t xml:space="preserve"> may</w:t>
      </w:r>
      <w:r w:rsidR="00502D34">
        <w:t>, acting as a primary contracting party, auspice, partner, or subcontract with other organisations or individuals</w:t>
      </w:r>
      <w:r w:rsidR="003E41B7">
        <w:t xml:space="preserve"> to deliver </w:t>
      </w:r>
      <w:r w:rsidR="00B506DC">
        <w:t>services</w:t>
      </w:r>
      <w:r w:rsidR="00502D34">
        <w:t xml:space="preserve">).  </w:t>
      </w:r>
    </w:p>
    <w:p w:rsidR="00B6581B" w:rsidRDefault="00B6581B" w:rsidP="00FB0F85">
      <w:pPr>
        <w:pStyle w:val="Heading2"/>
      </w:pPr>
      <w:bookmarkStart w:id="17" w:name="_Toc373104419"/>
      <w:r>
        <w:t>Statement of Requirements</w:t>
      </w:r>
      <w:bookmarkEnd w:id="17"/>
    </w:p>
    <w:p w:rsidR="00293C52" w:rsidRDefault="00293C52" w:rsidP="00293C52">
      <w:pPr>
        <w:pStyle w:val="BoxedText"/>
      </w:pPr>
      <w:r>
        <w:t xml:space="preserve">The purpose of the statement of requirements </w:t>
      </w:r>
      <w:r w:rsidR="000C0ECC">
        <w:t>(SO</w:t>
      </w:r>
      <w:r w:rsidR="00F3731E">
        <w:t xml:space="preserve">R) </w:t>
      </w:r>
      <w:r>
        <w:t xml:space="preserve">is to clearly and comprehensively explain to </w:t>
      </w:r>
      <w:r w:rsidR="005C1106">
        <w:t xml:space="preserve">an </w:t>
      </w:r>
      <w:r>
        <w:t xml:space="preserve">ESP the parameters of the grant project for which they are eligible to apply. </w:t>
      </w:r>
    </w:p>
    <w:p w:rsidR="00622584" w:rsidRDefault="00293C52" w:rsidP="00F23824">
      <w:r>
        <w:t xml:space="preserve">The </w:t>
      </w:r>
      <w:r w:rsidR="000C0ECC">
        <w:t>SO</w:t>
      </w:r>
      <w:r w:rsidR="00F3731E">
        <w:t>R</w:t>
      </w:r>
      <w:r>
        <w:t xml:space="preserve"> should be</w:t>
      </w:r>
      <w:r w:rsidR="00F23824">
        <w:t xml:space="preserve"> </w:t>
      </w:r>
      <w:r w:rsidR="004D2E53">
        <w:t>presented as a succinct, attractive and professional document, w</w:t>
      </w:r>
      <w:r>
        <w:t>ritten in plain English</w:t>
      </w:r>
      <w:r w:rsidR="005C1106">
        <w:t>,</w:t>
      </w:r>
      <w:r>
        <w:t xml:space="preserve"> </w:t>
      </w:r>
      <w:r w:rsidR="004B1717">
        <w:t>and require</w:t>
      </w:r>
      <w:r>
        <w:t xml:space="preserve"> no</w:t>
      </w:r>
      <w:r w:rsidR="00F63E9C">
        <w:t xml:space="preserve"> assumed,</w:t>
      </w:r>
      <w:r>
        <w:t xml:space="preserve"> departmental knowledge to be intelligi</w:t>
      </w:r>
      <w:r w:rsidR="00F23824">
        <w:t>ble to an ESP</w:t>
      </w:r>
      <w:r w:rsidR="004B1717">
        <w:t xml:space="preserve">.  </w:t>
      </w:r>
      <w:r w:rsidR="00CA417D">
        <w:t xml:space="preserve">It can </w:t>
      </w:r>
      <w:r w:rsidR="00622584">
        <w:t>be considered as analogous to a job description</w:t>
      </w:r>
      <w:r w:rsidR="003A69D2">
        <w:t xml:space="preserve"> </w:t>
      </w:r>
      <w:r w:rsidR="00CA417D">
        <w:t xml:space="preserve">(but not job application) </w:t>
      </w:r>
      <w:r w:rsidR="003A69D2">
        <w:t>form</w:t>
      </w:r>
      <w:r w:rsidR="00CA417D">
        <w:t xml:space="preserve">. </w:t>
      </w:r>
      <w:r w:rsidR="003A69D2">
        <w:t xml:space="preserve">  </w:t>
      </w:r>
    </w:p>
    <w:p w:rsidR="00293C52" w:rsidRDefault="00F63E9C" w:rsidP="00F23824">
      <w:r>
        <w:t xml:space="preserve">In order to be comprehensive, </w:t>
      </w:r>
      <w:r w:rsidR="000C0ECC">
        <w:t>the SO</w:t>
      </w:r>
      <w:r w:rsidR="00F3731E">
        <w:t xml:space="preserve">R </w:t>
      </w:r>
      <w:r>
        <w:t>should specify</w:t>
      </w:r>
      <w:r w:rsidR="00163027">
        <w:t xml:space="preserve"> the</w:t>
      </w:r>
      <w:r>
        <w:t>:</w:t>
      </w:r>
    </w:p>
    <w:p w:rsidR="00F63E9C" w:rsidRDefault="00163027" w:rsidP="00F63E9C">
      <w:pPr>
        <w:pStyle w:val="ListParagraph"/>
        <w:numPr>
          <w:ilvl w:val="0"/>
          <w:numId w:val="9"/>
        </w:numPr>
      </w:pPr>
      <w:r>
        <w:t>N</w:t>
      </w:r>
      <w:r w:rsidR="004B1717">
        <w:t>ame, description</w:t>
      </w:r>
      <w:r w:rsidR="001B19F8">
        <w:t>, duration</w:t>
      </w:r>
      <w:r w:rsidR="004B1717">
        <w:t xml:space="preserve"> and objectives of the project</w:t>
      </w:r>
      <w:r w:rsidR="00A0274E">
        <w:t>;</w:t>
      </w:r>
    </w:p>
    <w:p w:rsidR="004B1717" w:rsidRDefault="004B1717" w:rsidP="00F63E9C">
      <w:pPr>
        <w:pStyle w:val="ListParagraph"/>
        <w:numPr>
          <w:ilvl w:val="0"/>
          <w:numId w:val="9"/>
        </w:numPr>
      </w:pPr>
      <w:r>
        <w:t>Target groups of people the project is seeking to assist</w:t>
      </w:r>
      <w:r w:rsidR="00A0274E">
        <w:t>;</w:t>
      </w:r>
    </w:p>
    <w:p w:rsidR="004B1717" w:rsidRDefault="004B1717" w:rsidP="00F63E9C">
      <w:pPr>
        <w:pStyle w:val="ListParagraph"/>
        <w:numPr>
          <w:ilvl w:val="0"/>
          <w:numId w:val="9"/>
        </w:numPr>
      </w:pPr>
      <w:r>
        <w:t>Target issues the project is seeking to address</w:t>
      </w:r>
      <w:r w:rsidR="00A0274E">
        <w:t>;</w:t>
      </w:r>
    </w:p>
    <w:p w:rsidR="00DE422A" w:rsidRDefault="00163027" w:rsidP="00DE422A">
      <w:pPr>
        <w:pStyle w:val="ListParagraph"/>
        <w:numPr>
          <w:ilvl w:val="0"/>
          <w:numId w:val="9"/>
        </w:numPr>
      </w:pPr>
      <w:r>
        <w:t>O</w:t>
      </w:r>
      <w:r w:rsidR="00DE422A">
        <w:t xml:space="preserve">utcomes the </w:t>
      </w:r>
      <w:r w:rsidR="00A0274E">
        <w:t>ESP will be expected to achieve;</w:t>
      </w:r>
    </w:p>
    <w:p w:rsidR="00DE422A" w:rsidRDefault="00163027" w:rsidP="00DE422A">
      <w:pPr>
        <w:pStyle w:val="ListParagraph"/>
        <w:numPr>
          <w:ilvl w:val="0"/>
          <w:numId w:val="9"/>
        </w:numPr>
      </w:pPr>
      <w:r>
        <w:t>O</w:t>
      </w:r>
      <w:r w:rsidR="00DE422A">
        <w:t>utputs the ESP will be expected to deliver</w:t>
      </w:r>
      <w:r w:rsidR="00A0274E">
        <w:t>;</w:t>
      </w:r>
    </w:p>
    <w:p w:rsidR="001B19F8" w:rsidRDefault="00163027" w:rsidP="00DE422A">
      <w:pPr>
        <w:pStyle w:val="ListParagraph"/>
        <w:numPr>
          <w:ilvl w:val="0"/>
          <w:numId w:val="9"/>
        </w:numPr>
      </w:pPr>
      <w:r>
        <w:t>O</w:t>
      </w:r>
      <w:r w:rsidR="001B19F8">
        <w:t>pening and closing dates within which applications will be considered</w:t>
      </w:r>
      <w:r w:rsidR="00A0274E">
        <w:t>;</w:t>
      </w:r>
    </w:p>
    <w:p w:rsidR="00DE422A" w:rsidRDefault="00163027" w:rsidP="00DE422A">
      <w:pPr>
        <w:pStyle w:val="ListParagraph"/>
        <w:numPr>
          <w:ilvl w:val="0"/>
          <w:numId w:val="9"/>
        </w:numPr>
      </w:pPr>
      <w:r>
        <w:t>C</w:t>
      </w:r>
      <w:r w:rsidR="00DE422A">
        <w:t>hecklist documen</w:t>
      </w:r>
      <w:r w:rsidR="00CA417D">
        <w:t>ts the ESP should supply with their</w:t>
      </w:r>
      <w:r w:rsidR="00A0274E">
        <w:t xml:space="preserve"> application;</w:t>
      </w:r>
    </w:p>
    <w:p w:rsidR="00163027" w:rsidRDefault="0084070A" w:rsidP="00DE422A">
      <w:pPr>
        <w:pStyle w:val="ListParagraph"/>
        <w:numPr>
          <w:ilvl w:val="0"/>
          <w:numId w:val="9"/>
        </w:numPr>
      </w:pPr>
      <w:r>
        <w:t>Selection criteria against which applications will be assessed</w:t>
      </w:r>
      <w:r w:rsidR="00450828">
        <w:t>; and</w:t>
      </w:r>
    </w:p>
    <w:p w:rsidR="00B41948" w:rsidRDefault="00FE208D" w:rsidP="003E41B7">
      <w:pPr>
        <w:pStyle w:val="ListParagraph"/>
        <w:numPr>
          <w:ilvl w:val="0"/>
          <w:numId w:val="9"/>
        </w:numPr>
      </w:pPr>
      <w:r>
        <w:t>Disclaime</w:t>
      </w:r>
      <w:r w:rsidR="005712F2">
        <w:t>r that personal information supplied in an</w:t>
      </w:r>
      <w:r w:rsidR="00470A25">
        <w:t xml:space="preserve"> application will be used </w:t>
      </w:r>
      <w:r w:rsidR="00470A25" w:rsidRPr="00EE42A7">
        <w:t>by NT</w:t>
      </w:r>
      <w:r w:rsidR="005712F2" w:rsidRPr="00EE42A7">
        <w:t>CS</w:t>
      </w:r>
      <w:r w:rsidR="005712F2">
        <w:t xml:space="preserve"> in accordance with the </w:t>
      </w:r>
      <w:r w:rsidR="005712F2" w:rsidRPr="005E498A">
        <w:rPr>
          <w:i/>
        </w:rPr>
        <w:t xml:space="preserve">Information Act </w:t>
      </w:r>
      <w:r w:rsidR="005712F2">
        <w:t>2002 (NT)</w:t>
      </w:r>
      <w:r w:rsidR="00AE634C">
        <w:t>.</w:t>
      </w:r>
    </w:p>
    <w:p w:rsidR="00885266" w:rsidRDefault="00885266" w:rsidP="00885266"/>
    <w:p w:rsidR="004346A6" w:rsidRDefault="004346A6" w:rsidP="00885266"/>
    <w:p w:rsidR="00B41948" w:rsidRDefault="00CA2E5A" w:rsidP="00FB0F85">
      <w:pPr>
        <w:pStyle w:val="Heading2"/>
      </w:pPr>
      <w:bookmarkStart w:id="18" w:name="_Toc373104420"/>
      <w:r>
        <w:lastRenderedPageBreak/>
        <w:t>Approval and Publication</w:t>
      </w:r>
      <w:bookmarkEnd w:id="18"/>
    </w:p>
    <w:p w:rsidR="00A40EA1" w:rsidRDefault="00A40EA1" w:rsidP="007D74D6">
      <w:pPr>
        <w:pStyle w:val="BoxedText"/>
      </w:pPr>
      <w:r>
        <w:t xml:space="preserve">A grant project may only be </w:t>
      </w:r>
      <w:r w:rsidRPr="00EE42A7">
        <w:t xml:space="preserve">approved by a person with the requisite </w:t>
      </w:r>
      <w:r w:rsidR="009522ED" w:rsidRPr="00EE42A7">
        <w:t xml:space="preserve">financial </w:t>
      </w:r>
      <w:r w:rsidRPr="00EE42A7">
        <w:t>delegation to authorise a</w:t>
      </w:r>
      <w:r w:rsidR="00EE42A7" w:rsidRPr="00EE42A7">
        <w:t xml:space="preserve"> budgetary commitment by</w:t>
      </w:r>
      <w:r w:rsidR="00470A25" w:rsidRPr="00EE42A7">
        <w:t xml:space="preserve"> NT</w:t>
      </w:r>
      <w:r w:rsidRPr="00EE42A7">
        <w:t>CS, and</w:t>
      </w:r>
      <w:r>
        <w:t xml:space="preserve"> once approved should be published on the agency website for transparency and to encourage applications for funding.</w:t>
      </w:r>
    </w:p>
    <w:p w:rsidR="00A40EA1" w:rsidRPr="00EE42A7" w:rsidRDefault="009522ED" w:rsidP="00B53C09">
      <w:r>
        <w:t xml:space="preserve">Approving a grant project </w:t>
      </w:r>
      <w:r w:rsidR="00170C1A" w:rsidRPr="00EE42A7">
        <w:t>does</w:t>
      </w:r>
      <w:r w:rsidRPr="00EE42A7">
        <w:t xml:space="preserve"> not, in and of itself, approv</w:t>
      </w:r>
      <w:r w:rsidR="00170C1A" w:rsidRPr="00EE42A7">
        <w:t>e</w:t>
      </w:r>
      <w:r w:rsidRPr="00EE42A7">
        <w:t xml:space="preserve"> the actual expenditure of fund</w:t>
      </w:r>
      <w:r w:rsidR="00B10B20" w:rsidRPr="00EE42A7">
        <w:t xml:space="preserve">s.  Rather, it </w:t>
      </w:r>
      <w:r w:rsidR="004C1CDF" w:rsidRPr="00EE42A7">
        <w:t>constitutes</w:t>
      </w:r>
      <w:r w:rsidR="00470A25" w:rsidRPr="00EE42A7">
        <w:t xml:space="preserve"> approval of an NT</w:t>
      </w:r>
      <w:r w:rsidR="00B10B20" w:rsidRPr="00EE42A7">
        <w:t xml:space="preserve">CS </w:t>
      </w:r>
      <w:r w:rsidRPr="00EE42A7">
        <w:t xml:space="preserve">commitment to </w:t>
      </w:r>
      <w:r w:rsidR="00B10B20" w:rsidRPr="00EE42A7">
        <w:t xml:space="preserve">the public to </w:t>
      </w:r>
      <w:r w:rsidRPr="00EE42A7">
        <w:t>provide funds</w:t>
      </w:r>
      <w:r w:rsidR="00B10B20" w:rsidRPr="00EE42A7">
        <w:t xml:space="preserve"> for the purpose of financing a</w:t>
      </w:r>
      <w:r w:rsidRPr="00EE42A7">
        <w:t xml:space="preserve"> </w:t>
      </w:r>
      <w:r w:rsidR="00B10B20" w:rsidRPr="00EE42A7">
        <w:t>grant</w:t>
      </w:r>
      <w:r w:rsidRPr="00EE42A7">
        <w:t xml:space="preserve"> initiative</w:t>
      </w:r>
      <w:r w:rsidR="00B10B20" w:rsidRPr="00EE42A7">
        <w:t xml:space="preserve">.  </w:t>
      </w:r>
      <w:r w:rsidRPr="00EE42A7">
        <w:t xml:space="preserve">ESPs will have to apply for </w:t>
      </w:r>
      <w:r w:rsidR="00885266" w:rsidRPr="00EE42A7">
        <w:t>some</w:t>
      </w:r>
      <w:r w:rsidR="00E26FC5" w:rsidRPr="00EE42A7">
        <w:t xml:space="preserve"> or all of this</w:t>
      </w:r>
      <w:r w:rsidRPr="00EE42A7">
        <w:t xml:space="preserve"> fun</w:t>
      </w:r>
      <w:r w:rsidR="00885266" w:rsidRPr="00EE42A7">
        <w:t xml:space="preserve">ding, and if successful will </w:t>
      </w:r>
      <w:r w:rsidRPr="00EE42A7">
        <w:t>ultimately execute a Funding Contract</w:t>
      </w:r>
      <w:r w:rsidR="00B10B20" w:rsidRPr="00EE42A7">
        <w:t xml:space="preserve"> with the agency</w:t>
      </w:r>
      <w:r w:rsidRPr="00EE42A7">
        <w:t xml:space="preserve">, which </w:t>
      </w:r>
      <w:r w:rsidR="00B10B20" w:rsidRPr="00EE42A7">
        <w:t>creates</w:t>
      </w:r>
      <w:r w:rsidRPr="00EE42A7">
        <w:t xml:space="preserve"> an actual contractual commitment to expenditure.  </w:t>
      </w:r>
    </w:p>
    <w:p w:rsidR="00BB248D" w:rsidRPr="00EE42A7" w:rsidRDefault="001B56CE" w:rsidP="00BB248D">
      <w:r w:rsidRPr="00EE42A7">
        <w:t xml:space="preserve">Before approving a grant project, ensure that: </w:t>
      </w:r>
    </w:p>
    <w:p w:rsidR="001B6FF8" w:rsidRPr="00EE42A7" w:rsidRDefault="001B6FF8" w:rsidP="00BB248D">
      <w:pPr>
        <w:pStyle w:val="ListParagraph"/>
        <w:numPr>
          <w:ilvl w:val="0"/>
          <w:numId w:val="9"/>
        </w:numPr>
      </w:pPr>
      <w:r w:rsidRPr="00EE42A7">
        <w:t xml:space="preserve">The approver has the necessary </w:t>
      </w:r>
      <w:r w:rsidR="00682E13" w:rsidRPr="00EE42A7">
        <w:t xml:space="preserve">financial </w:t>
      </w:r>
      <w:r w:rsidRPr="00EE42A7">
        <w:t>delegation to approve a grant project;</w:t>
      </w:r>
    </w:p>
    <w:p w:rsidR="00387A16" w:rsidRPr="00EE42A7" w:rsidRDefault="00387A16" w:rsidP="00BB248D">
      <w:pPr>
        <w:pStyle w:val="ListParagraph"/>
        <w:numPr>
          <w:ilvl w:val="0"/>
          <w:numId w:val="9"/>
        </w:numPr>
      </w:pPr>
      <w:r w:rsidRPr="00EE42A7">
        <w:t>The project is consistent with the agency’s strategic intent</w:t>
      </w:r>
      <w:r w:rsidR="00734F5F" w:rsidRPr="00EE42A7">
        <w:t xml:space="preserve">; </w:t>
      </w:r>
    </w:p>
    <w:p w:rsidR="001B56CE" w:rsidRPr="00EE42A7" w:rsidRDefault="001B56CE" w:rsidP="00BB248D">
      <w:pPr>
        <w:pStyle w:val="ListParagraph"/>
        <w:numPr>
          <w:ilvl w:val="0"/>
          <w:numId w:val="9"/>
        </w:numPr>
      </w:pPr>
      <w:r w:rsidRPr="00EE42A7">
        <w:t>T</w:t>
      </w:r>
      <w:r w:rsidR="004D414B" w:rsidRPr="00EE42A7">
        <w:t>he business case is comprehensive and accurate</w:t>
      </w:r>
      <w:r w:rsidRPr="00EE42A7">
        <w:t xml:space="preserve">; </w:t>
      </w:r>
    </w:p>
    <w:p w:rsidR="001B56CE" w:rsidRPr="00EE42A7" w:rsidRDefault="001B56CE" w:rsidP="00BB248D">
      <w:pPr>
        <w:pStyle w:val="ListParagraph"/>
        <w:numPr>
          <w:ilvl w:val="0"/>
          <w:numId w:val="9"/>
        </w:numPr>
      </w:pPr>
      <w:r w:rsidRPr="00EE42A7">
        <w:t>T</w:t>
      </w:r>
      <w:r w:rsidR="004D414B" w:rsidRPr="00EE42A7">
        <w:t xml:space="preserve">he determination of </w:t>
      </w:r>
      <w:r w:rsidRPr="00EE42A7">
        <w:t>ESP eligibility is neither unnecessarily broad or restrictive;</w:t>
      </w:r>
    </w:p>
    <w:p w:rsidR="004D414B" w:rsidRPr="00EE42A7" w:rsidRDefault="001B56CE" w:rsidP="001B56CE">
      <w:pPr>
        <w:pStyle w:val="ListParagraph"/>
        <w:numPr>
          <w:ilvl w:val="0"/>
          <w:numId w:val="9"/>
        </w:numPr>
      </w:pPr>
      <w:r w:rsidRPr="00EE42A7">
        <w:t>T</w:t>
      </w:r>
      <w:r w:rsidR="004D414B" w:rsidRPr="00EE42A7">
        <w:t xml:space="preserve">he statement of </w:t>
      </w:r>
      <w:r w:rsidRPr="00EE42A7">
        <w:t xml:space="preserve">requirements </w:t>
      </w:r>
      <w:r w:rsidR="000C0ECC" w:rsidRPr="00EE42A7">
        <w:t xml:space="preserve">(SOR) </w:t>
      </w:r>
      <w:r w:rsidRPr="00EE42A7">
        <w:t xml:space="preserve">is </w:t>
      </w:r>
      <w:r w:rsidR="001B6FF8" w:rsidRPr="00EE42A7">
        <w:t xml:space="preserve">clear, comprehensive and accurate; </w:t>
      </w:r>
    </w:p>
    <w:p w:rsidR="00682E13" w:rsidRDefault="00682E13" w:rsidP="00682E13">
      <w:pPr>
        <w:pStyle w:val="ListParagraph"/>
        <w:numPr>
          <w:ilvl w:val="0"/>
          <w:numId w:val="9"/>
        </w:numPr>
      </w:pPr>
      <w:r w:rsidRPr="00EE42A7">
        <w:t>All potent</w:t>
      </w:r>
      <w:r w:rsidR="0055211D" w:rsidRPr="00EE42A7">
        <w:t>ial legal risks that may arise (</w:t>
      </w:r>
      <w:r w:rsidRPr="00EE42A7">
        <w:t xml:space="preserve">including the likelihood of personal injury, property damage, or defamation; possibilities for breach of legislation, contract, and intellectual property rights; and non-legal risks such as financial and </w:t>
      </w:r>
      <w:r w:rsidR="00470A25" w:rsidRPr="00EE42A7">
        <w:t>reputational risks to NT</w:t>
      </w:r>
      <w:r w:rsidR="0055211D" w:rsidRPr="00EE42A7">
        <w:t>CS)</w:t>
      </w:r>
      <w:r w:rsidRPr="00EE42A7">
        <w:t xml:space="preserve"> have been considered and can</w:t>
      </w:r>
      <w:r>
        <w:t xml:space="preserve"> be mitigated or managed;</w:t>
      </w:r>
    </w:p>
    <w:p w:rsidR="00FA35C4" w:rsidRDefault="00FA35C4" w:rsidP="00FA35C4">
      <w:pPr>
        <w:pStyle w:val="ListParagraph"/>
        <w:numPr>
          <w:ilvl w:val="0"/>
          <w:numId w:val="9"/>
        </w:numPr>
      </w:pPr>
      <w:r>
        <w:t xml:space="preserve">The agency has the financial and administrative capacity to manage the project, given its resources, staff skills base, and the scope and complexity of the project; </w:t>
      </w:r>
      <w:r w:rsidR="00387A16">
        <w:t>and</w:t>
      </w:r>
    </w:p>
    <w:p w:rsidR="00387A16" w:rsidRPr="00EE42A7" w:rsidRDefault="00387A16" w:rsidP="00FA35C4">
      <w:pPr>
        <w:pStyle w:val="ListParagraph"/>
        <w:numPr>
          <w:ilvl w:val="0"/>
          <w:numId w:val="9"/>
        </w:numPr>
      </w:pPr>
      <w:r>
        <w:t xml:space="preserve">Where a project has been initiated by, or been subject to Ministerial intervention, the </w:t>
      </w:r>
      <w:r w:rsidR="009A053E">
        <w:t>involvement</w:t>
      </w:r>
      <w:r>
        <w:t xml:space="preserve"> </w:t>
      </w:r>
      <w:r w:rsidR="009A053E">
        <w:t xml:space="preserve">is </w:t>
      </w:r>
      <w:r w:rsidR="0049316B">
        <w:t xml:space="preserve">a) </w:t>
      </w:r>
      <w:r w:rsidR="009A053E">
        <w:t>documented, in the interest of maintai</w:t>
      </w:r>
      <w:r w:rsidR="0049316B">
        <w:t xml:space="preserve">ning transparency and probity, and b) </w:t>
      </w:r>
      <w:r w:rsidR="0049316B" w:rsidRPr="00EE42A7">
        <w:t>still accompanied by a written advice on the merits of ap</w:t>
      </w:r>
      <w:r w:rsidR="00470A25" w:rsidRPr="00EE42A7">
        <w:t>proval or disapproval by NT</w:t>
      </w:r>
      <w:r w:rsidR="0049316B" w:rsidRPr="00EE42A7">
        <w:t xml:space="preserve">CS.  </w:t>
      </w:r>
    </w:p>
    <w:p w:rsidR="00B10A1F" w:rsidRDefault="0049316B" w:rsidP="000C0ECC">
      <w:r w:rsidRPr="00EE42A7">
        <w:t xml:space="preserve">Any corrections required to project documentation </w:t>
      </w:r>
      <w:r w:rsidR="003F352D" w:rsidRPr="00EE42A7">
        <w:t>must</w:t>
      </w:r>
      <w:r w:rsidRPr="00EE42A7">
        <w:t xml:space="preserve"> be made prior to approval.  </w:t>
      </w:r>
      <w:r w:rsidR="000C0ECC" w:rsidRPr="00EE42A7">
        <w:t>Thereafter, once the project is approved, the S</w:t>
      </w:r>
      <w:r w:rsidR="00470A25" w:rsidRPr="00EE42A7">
        <w:t>OR must be published on the NT</w:t>
      </w:r>
      <w:r w:rsidR="000C0ECC" w:rsidRPr="00EE42A7">
        <w:t xml:space="preserve">CS website in a timely manner, even where eligibility is restricted or targeted to specific ESPs.  </w:t>
      </w:r>
      <w:r w:rsidR="00B10A1F" w:rsidRPr="00EE42A7">
        <w:t xml:space="preserve">This duty of disclosure should always occur, </w:t>
      </w:r>
      <w:r w:rsidR="000C0ECC" w:rsidRPr="00EE42A7">
        <w:t>unless prohibited by a specific policy or legislative</w:t>
      </w:r>
      <w:r w:rsidR="000C0ECC">
        <w:t xml:space="preserve"> reason.  </w:t>
      </w:r>
      <w:r w:rsidR="00C91D41">
        <w:t>Finally</w:t>
      </w:r>
      <w:r w:rsidR="00B10A1F">
        <w:t>, those ESPs eligible to apply for the project should be contacted</w:t>
      </w:r>
      <w:r w:rsidR="003F352D">
        <w:t xml:space="preserve"> by the agency</w:t>
      </w:r>
      <w:r w:rsidR="00B10A1F">
        <w:t xml:space="preserve">, to alert them to the opportunity to </w:t>
      </w:r>
      <w:r w:rsidR="00C91D41">
        <w:t xml:space="preserve">apply for funding.  </w:t>
      </w:r>
    </w:p>
    <w:p w:rsidR="00B41948" w:rsidRDefault="00B41948">
      <w:r>
        <w:br w:type="page"/>
      </w:r>
    </w:p>
    <w:p w:rsidR="00B41948" w:rsidRDefault="00B41948" w:rsidP="00B6581B">
      <w:pPr>
        <w:pStyle w:val="Heading1"/>
      </w:pPr>
      <w:bookmarkStart w:id="19" w:name="_Toc373104421"/>
      <w:r>
        <w:lastRenderedPageBreak/>
        <w:t>Applications for Funding</w:t>
      </w:r>
      <w:bookmarkEnd w:id="19"/>
    </w:p>
    <w:p w:rsidR="005E3D69" w:rsidRPr="00EE42A7" w:rsidRDefault="00A57A9F" w:rsidP="00E45002">
      <w:r>
        <w:t xml:space="preserve">Once a grant project has been established, eligible ESPs will be </w:t>
      </w:r>
      <w:r w:rsidR="005E3D69">
        <w:t>able</w:t>
      </w:r>
      <w:r>
        <w:t xml:space="preserve"> to apply for funding</w:t>
      </w:r>
      <w:r w:rsidR="00650008">
        <w:t xml:space="preserve"> w</w:t>
      </w:r>
      <w:r w:rsidR="005E3D69">
        <w:t xml:space="preserve">ith reference to the Statement of Requirements published </w:t>
      </w:r>
      <w:r w:rsidR="005E3D69" w:rsidRPr="00EE42A7">
        <w:t xml:space="preserve">by NTCS.  </w:t>
      </w:r>
      <w:r w:rsidR="00E45002" w:rsidRPr="00EE42A7">
        <w:t>To ensure best practice thereafter, the agency must ensure that t</w:t>
      </w:r>
      <w:r w:rsidR="005E3D69" w:rsidRPr="00EE42A7">
        <w:t xml:space="preserve">he </w:t>
      </w:r>
      <w:r w:rsidR="00E45002" w:rsidRPr="00EE42A7">
        <w:t>process</w:t>
      </w:r>
      <w:r w:rsidR="005E3D69" w:rsidRPr="00EE42A7">
        <w:t xml:space="preserve"> by which applications are </w:t>
      </w:r>
      <w:r w:rsidR="00E45002" w:rsidRPr="00EE42A7">
        <w:t xml:space="preserve">handled is robust.  This aim is realised through adherence to a defensible application methodology, promoting consistency in application contents, and following a uniform consideration workflow for assessment, review, and approval of applications.  </w:t>
      </w:r>
    </w:p>
    <w:p w:rsidR="00B6581B" w:rsidRPr="00EE42A7" w:rsidRDefault="00B6581B" w:rsidP="00FB0F85">
      <w:pPr>
        <w:pStyle w:val="Heading2"/>
      </w:pPr>
      <w:bookmarkStart w:id="20" w:name="_Toc373104422"/>
      <w:r w:rsidRPr="00EE42A7">
        <w:t>Application</w:t>
      </w:r>
      <w:r w:rsidR="002F5C57" w:rsidRPr="00EE42A7">
        <w:t xml:space="preserve"> </w:t>
      </w:r>
      <w:r w:rsidR="0059464E" w:rsidRPr="00EE42A7">
        <w:t>Methodology</w:t>
      </w:r>
      <w:bookmarkEnd w:id="20"/>
    </w:p>
    <w:p w:rsidR="00D65840" w:rsidRPr="00EE42A7" w:rsidRDefault="00AA21CE" w:rsidP="00AA63CB">
      <w:r w:rsidRPr="00EE42A7">
        <w:t xml:space="preserve">In theory, </w:t>
      </w:r>
      <w:r w:rsidR="00421DBA" w:rsidRPr="00EE42A7">
        <w:t xml:space="preserve">a variety of </w:t>
      </w:r>
      <w:r w:rsidRPr="00EE42A7">
        <w:t>process</w:t>
      </w:r>
      <w:r w:rsidR="00421DBA" w:rsidRPr="00EE42A7">
        <w:t>es</w:t>
      </w:r>
      <w:r w:rsidRPr="00EE42A7">
        <w:t xml:space="preserve"> by which potential funding recipients will be able to access a grant project can </w:t>
      </w:r>
      <w:r w:rsidR="00421DBA" w:rsidRPr="00EE42A7">
        <w:t>defensibly be followed</w:t>
      </w:r>
      <w:r w:rsidRPr="00EE42A7">
        <w:t>, involving open-competitive, targeted or restricted rounds; non-competitive open or closed processes; demand-driven threshold processes; or ad-hoc determinations.</w:t>
      </w:r>
      <w:r w:rsidRPr="00EE42A7">
        <w:rPr>
          <w:rStyle w:val="FootnoteReference"/>
        </w:rPr>
        <w:footnoteReference w:id="8"/>
      </w:r>
      <w:r w:rsidRPr="00EE42A7">
        <w:t xml:space="preserve">  </w:t>
      </w:r>
      <w:r w:rsidR="00421DBA" w:rsidRPr="00EE42A7">
        <w:t>Notwithstanding, t</w:t>
      </w:r>
      <w:r w:rsidR="00EB3E9F" w:rsidRPr="00EE42A7">
        <w:t xml:space="preserve">he </w:t>
      </w:r>
      <w:r w:rsidR="001E3F64" w:rsidRPr="00EE42A7">
        <w:t>application methodology most appropriate for the scope of the grants work of</w:t>
      </w:r>
      <w:r w:rsidR="00421DBA" w:rsidRPr="00EE42A7">
        <w:t xml:space="preserve"> </w:t>
      </w:r>
      <w:r w:rsidR="00CD2A8C" w:rsidRPr="00EE42A7">
        <w:t>NT</w:t>
      </w:r>
      <w:r w:rsidR="001E3F64" w:rsidRPr="00EE42A7">
        <w:t xml:space="preserve">CS adheres to what </w:t>
      </w:r>
      <w:r w:rsidR="00890FC1" w:rsidRPr="00EE42A7">
        <w:t xml:space="preserve">might </w:t>
      </w:r>
      <w:r w:rsidR="00EE7FFE" w:rsidRPr="00EE42A7">
        <w:t xml:space="preserve">be </w:t>
      </w:r>
      <w:r w:rsidR="001E3F64" w:rsidRPr="00EE42A7">
        <w:t>referred to as a ‘non-c</w:t>
      </w:r>
      <w:r w:rsidR="00F75442" w:rsidRPr="00EE42A7">
        <w:t xml:space="preserve">ompetitive, open </w:t>
      </w:r>
      <w:r w:rsidR="00890FC1" w:rsidRPr="00EE42A7">
        <w:t xml:space="preserve">funding round </w:t>
      </w:r>
      <w:r w:rsidR="00F75442" w:rsidRPr="00EE42A7">
        <w:t>process’</w:t>
      </w:r>
      <w:r w:rsidR="00D65840" w:rsidRPr="00EE42A7">
        <w:t xml:space="preserve">.  Under this methodology: </w:t>
      </w:r>
    </w:p>
    <w:p w:rsidR="00EB3E9F" w:rsidRPr="00EE42A7" w:rsidRDefault="00D65840" w:rsidP="00D65840">
      <w:pPr>
        <w:pStyle w:val="BoxedText"/>
      </w:pPr>
      <w:r w:rsidRPr="00EE42A7">
        <w:t>A</w:t>
      </w:r>
      <w:r w:rsidR="00F75442" w:rsidRPr="00EE42A7">
        <w:t xml:space="preserve">pplications </w:t>
      </w:r>
      <w:r w:rsidR="00EE7FFE" w:rsidRPr="00EE42A7">
        <w:t xml:space="preserve">are able to be submitted at any time </w:t>
      </w:r>
      <w:r w:rsidR="007A21BD" w:rsidRPr="00EE42A7">
        <w:t>within the</w:t>
      </w:r>
      <w:r w:rsidR="00EE7FFE" w:rsidRPr="00EE42A7">
        <w:t xml:space="preserve"> nominated </w:t>
      </w:r>
      <w:r w:rsidR="007A21BD" w:rsidRPr="00EE42A7">
        <w:t xml:space="preserve">grant project </w:t>
      </w:r>
      <w:r w:rsidR="00EE7FFE" w:rsidRPr="00EE42A7">
        <w:t xml:space="preserve">period, </w:t>
      </w:r>
      <w:r w:rsidR="002A102F" w:rsidRPr="00EE42A7">
        <w:t>and</w:t>
      </w:r>
      <w:r w:rsidR="00EE7FFE" w:rsidRPr="00EE42A7">
        <w:t xml:space="preserve"> are assessed </w:t>
      </w:r>
      <w:r w:rsidR="00D767E9" w:rsidRPr="00EE42A7">
        <w:t xml:space="preserve">only </w:t>
      </w:r>
      <w:r w:rsidR="00EE7FFE" w:rsidRPr="00EE42A7">
        <w:t>on their individual</w:t>
      </w:r>
      <w:r w:rsidR="00BE2B5B" w:rsidRPr="00EE42A7">
        <w:t xml:space="preserve"> </w:t>
      </w:r>
      <w:r w:rsidR="00EE7FFE" w:rsidRPr="00EE42A7">
        <w:t xml:space="preserve">merits against specified selection criteria.  </w:t>
      </w:r>
    </w:p>
    <w:p w:rsidR="00AE160D" w:rsidRPr="00EE42A7" w:rsidRDefault="002A102F" w:rsidP="00AA63CB">
      <w:r w:rsidRPr="00EE42A7">
        <w:t>Considering each application on a ‘first-come, first served’ basis</w:t>
      </w:r>
      <w:r w:rsidR="00AE160D" w:rsidRPr="00EE42A7">
        <w:t>:</w:t>
      </w:r>
    </w:p>
    <w:p w:rsidR="00AE160D" w:rsidRPr="00EE42A7" w:rsidRDefault="00AE160D" w:rsidP="00AE160D">
      <w:pPr>
        <w:pStyle w:val="ListParagraph"/>
        <w:numPr>
          <w:ilvl w:val="0"/>
          <w:numId w:val="9"/>
        </w:numPr>
      </w:pPr>
      <w:r w:rsidRPr="00EE42A7">
        <w:t>R</w:t>
      </w:r>
      <w:r w:rsidR="002A102F" w:rsidRPr="00EE42A7">
        <w:t xml:space="preserve">ewards ESPs who are </w:t>
      </w:r>
      <w:r w:rsidRPr="00EE42A7">
        <w:t xml:space="preserve">administratively </w:t>
      </w:r>
      <w:r w:rsidR="002A102F" w:rsidRPr="00EE42A7">
        <w:t xml:space="preserve">organised </w:t>
      </w:r>
      <w:r w:rsidRPr="00EE42A7">
        <w:t>(and hence likely to be sound);</w:t>
      </w:r>
    </w:p>
    <w:p w:rsidR="00AE160D" w:rsidRDefault="00AE160D" w:rsidP="00AE160D">
      <w:pPr>
        <w:pStyle w:val="ListParagraph"/>
        <w:numPr>
          <w:ilvl w:val="0"/>
          <w:numId w:val="9"/>
        </w:numPr>
      </w:pPr>
      <w:r w:rsidRPr="00EE42A7">
        <w:t>A</w:t>
      </w:r>
      <w:r w:rsidR="002A102F" w:rsidRPr="00EE42A7">
        <w:t xml:space="preserve">llows ESPs flexibility to submit applications based </w:t>
      </w:r>
      <w:r w:rsidRPr="00EE42A7">
        <w:t>on their capacity an</w:t>
      </w:r>
      <w:r>
        <w:t>d readiness;</w:t>
      </w:r>
    </w:p>
    <w:p w:rsidR="00AE160D" w:rsidRDefault="00AE160D" w:rsidP="00AE160D">
      <w:pPr>
        <w:pStyle w:val="ListParagraph"/>
        <w:numPr>
          <w:ilvl w:val="0"/>
          <w:numId w:val="9"/>
        </w:numPr>
      </w:pPr>
      <w:r>
        <w:t>A</w:t>
      </w:r>
      <w:r w:rsidR="002A102F">
        <w:t>ssist</w:t>
      </w:r>
      <w:r w:rsidR="000F1E58">
        <w:t>s</w:t>
      </w:r>
      <w:r w:rsidR="002A102F">
        <w:t xml:space="preserve"> the agency to </w:t>
      </w:r>
      <w:r w:rsidR="0058538E">
        <w:t>achieve service delivery</w:t>
      </w:r>
      <w:r>
        <w:t xml:space="preserve"> with minimum delay;</w:t>
      </w:r>
    </w:p>
    <w:p w:rsidR="00AE160D" w:rsidRDefault="00AE160D" w:rsidP="00AE160D">
      <w:pPr>
        <w:pStyle w:val="ListParagraph"/>
        <w:numPr>
          <w:ilvl w:val="0"/>
          <w:numId w:val="9"/>
        </w:numPr>
      </w:pPr>
      <w:r>
        <w:t>A</w:t>
      </w:r>
      <w:r w:rsidR="005A6C40">
        <w:t xml:space="preserve">llows the agency to </w:t>
      </w:r>
      <w:r w:rsidR="002A102F">
        <w:t xml:space="preserve">distribute its grants work </w:t>
      </w:r>
      <w:r w:rsidR="005A6C40">
        <w:t xml:space="preserve">evenly and </w:t>
      </w:r>
      <w:r w:rsidR="002A102F">
        <w:t>avoid creating glut</w:t>
      </w:r>
      <w:r w:rsidR="00BE2B5B">
        <w:t>s</w:t>
      </w:r>
      <w:r>
        <w:t>,</w:t>
      </w:r>
      <w:r w:rsidR="005A6C40">
        <w:t xml:space="preserve"> which in turn </w:t>
      </w:r>
      <w:r w:rsidR="0058538E">
        <w:t>enables</w:t>
      </w:r>
      <w:r w:rsidR="0072341B">
        <w:t xml:space="preserve"> </w:t>
      </w:r>
      <w:r w:rsidR="005A6C40">
        <w:t xml:space="preserve">staff to achieve </w:t>
      </w:r>
      <w:r w:rsidR="00E57D42">
        <w:t>better</w:t>
      </w:r>
      <w:r w:rsidR="005A6C40">
        <w:t xml:space="preserve"> </w:t>
      </w:r>
      <w:r w:rsidR="001F3D40">
        <w:t>quality assurance in the consideration of applications</w:t>
      </w:r>
      <w:r>
        <w:t>; and</w:t>
      </w:r>
    </w:p>
    <w:p w:rsidR="00BE2B5B" w:rsidRDefault="00AE160D" w:rsidP="00AE160D">
      <w:pPr>
        <w:pStyle w:val="ListParagraph"/>
        <w:numPr>
          <w:ilvl w:val="0"/>
          <w:numId w:val="9"/>
        </w:numPr>
      </w:pPr>
      <w:r>
        <w:t>P</w:t>
      </w:r>
      <w:r w:rsidR="00BE2B5B">
        <w:t xml:space="preserve">laces great weight on ensuring that applicants </w:t>
      </w:r>
      <w:r w:rsidR="000F687A">
        <w:t>fully</w:t>
      </w:r>
      <w:r w:rsidR="000F1E58">
        <w:t xml:space="preserve"> </w:t>
      </w:r>
      <w:r w:rsidR="00BE2B5B">
        <w:t xml:space="preserve">satisfy </w:t>
      </w:r>
      <w:r>
        <w:t xml:space="preserve">grants </w:t>
      </w:r>
      <w:r w:rsidR="00BE2B5B">
        <w:t xml:space="preserve">selection </w:t>
      </w:r>
      <w:r w:rsidR="000F1E58">
        <w:t xml:space="preserve">criteria, rather than being selected </w:t>
      </w:r>
      <w:r w:rsidR="001F1298">
        <w:t xml:space="preserve">when </w:t>
      </w:r>
      <w:r>
        <w:t xml:space="preserve">they are </w:t>
      </w:r>
      <w:r w:rsidR="001F1298">
        <w:t>only</w:t>
      </w:r>
      <w:r w:rsidR="000F1E58">
        <w:t xml:space="preserve"> </w:t>
      </w:r>
      <w:r>
        <w:t>satisfactory relative to others.</w:t>
      </w:r>
    </w:p>
    <w:p w:rsidR="007A21BD" w:rsidRDefault="00AE160D" w:rsidP="00AA63CB">
      <w:r>
        <w:t>I</w:t>
      </w:r>
      <w:r w:rsidR="00C73086">
        <w:t xml:space="preserve">nstances may </w:t>
      </w:r>
      <w:r>
        <w:t xml:space="preserve">nevertheless </w:t>
      </w:r>
      <w:r w:rsidR="00C73086">
        <w:t xml:space="preserve">arise </w:t>
      </w:r>
      <w:r w:rsidR="000F1E58">
        <w:t xml:space="preserve">where the agency </w:t>
      </w:r>
      <w:r w:rsidR="00C73086">
        <w:t xml:space="preserve">wishes to </w:t>
      </w:r>
      <w:r w:rsidR="00B445EC">
        <w:t>consider</w:t>
      </w:r>
      <w:r w:rsidR="00C73086">
        <w:t xml:space="preserve"> </w:t>
      </w:r>
      <w:r w:rsidR="00B445EC">
        <w:t xml:space="preserve">applications with respect to the comparative </w:t>
      </w:r>
      <w:r w:rsidR="00AD4019">
        <w:t>merits of other applications</w:t>
      </w:r>
      <w:r w:rsidR="00C73086">
        <w:t xml:space="preserve"> for the same project.  </w:t>
      </w:r>
      <w:r w:rsidR="00F757E8">
        <w:t>This is still a valid method, and can be desirable at times for practical purposes.  T</w:t>
      </w:r>
      <w:r w:rsidR="000F1E58">
        <w:t>he best</w:t>
      </w:r>
      <w:r w:rsidR="00F757E8">
        <w:t xml:space="preserve"> manner in which to effect this </w:t>
      </w:r>
      <w:r>
        <w:t>methodology</w:t>
      </w:r>
      <w:r w:rsidR="00F757E8">
        <w:t xml:space="preserve"> is however, to curtail the period within which</w:t>
      </w:r>
      <w:r w:rsidR="00932C14">
        <w:t xml:space="preserve"> applications may be submitted – which </w:t>
      </w:r>
      <w:r w:rsidR="00F757E8">
        <w:t>ensure</w:t>
      </w:r>
      <w:r w:rsidR="00474620">
        <w:t>s</w:t>
      </w:r>
      <w:r w:rsidR="00F757E8">
        <w:t xml:space="preserve"> that they are received contemporaneously.  </w:t>
      </w:r>
      <w:r w:rsidR="00DA084A">
        <w:t xml:space="preserve">In all cases though, </w:t>
      </w:r>
      <w:r w:rsidR="00474620">
        <w:t>care must be taken to consider applications in a</w:t>
      </w:r>
      <w:r w:rsidR="00906572">
        <w:t>n</w:t>
      </w:r>
      <w:r w:rsidR="00474620">
        <w:t xml:space="preserve"> </w:t>
      </w:r>
      <w:r w:rsidR="00906572">
        <w:t xml:space="preserve">equally </w:t>
      </w:r>
      <w:r w:rsidR="00474620">
        <w:t xml:space="preserve">timely and consistent way.  </w:t>
      </w:r>
    </w:p>
    <w:p w:rsidR="00F22208" w:rsidRPr="00AA63CB" w:rsidRDefault="00F22208" w:rsidP="00FB0F85">
      <w:pPr>
        <w:pStyle w:val="Heading2"/>
      </w:pPr>
      <w:bookmarkStart w:id="21" w:name="_Toc373104423"/>
      <w:r>
        <w:t>Application Contents</w:t>
      </w:r>
      <w:bookmarkEnd w:id="21"/>
    </w:p>
    <w:p w:rsidR="003B534B" w:rsidRDefault="003B534B" w:rsidP="00392ABA">
      <w:pPr>
        <w:pStyle w:val="BoxedText"/>
      </w:pPr>
      <w:r>
        <w:t xml:space="preserve">ESPs </w:t>
      </w:r>
      <w:r w:rsidR="00752E3C">
        <w:t>must</w:t>
      </w:r>
      <w:r>
        <w:t xml:space="preserve"> submit applications containing sufficient information to allow for informed decision-making on the papers alone, and be aware that the onus resides with them to provide true and accurate </w:t>
      </w:r>
      <w:r w:rsidR="00FE02CB">
        <w:t>submissions</w:t>
      </w:r>
      <w:r>
        <w:t xml:space="preserve">.  </w:t>
      </w:r>
    </w:p>
    <w:p w:rsidR="004D7623" w:rsidRPr="00EE42A7" w:rsidRDefault="00785086" w:rsidP="00E57311">
      <w:r>
        <w:t xml:space="preserve">Whilst it </w:t>
      </w:r>
      <w:r w:rsidR="00BB10B8">
        <w:t xml:space="preserve">is the responsibility </w:t>
      </w:r>
      <w:r w:rsidR="00BB10B8" w:rsidRPr="00EE42A7">
        <w:t>of NT</w:t>
      </w:r>
      <w:r w:rsidRPr="00EE42A7">
        <w:t xml:space="preserve">CS to ensure due diligence </w:t>
      </w:r>
      <w:r w:rsidR="004D7623" w:rsidRPr="00EE42A7">
        <w:t xml:space="preserve">and obtain all information required to make proper assessments, verifying the accuracy and truthfulness of materials is a secondary responsibility.  The primary responsibility of the agency is instead, to promote </w:t>
      </w:r>
      <w:r w:rsidR="004D7623" w:rsidRPr="00EE42A7">
        <w:lastRenderedPageBreak/>
        <w:t xml:space="preserve">consistency by clearly articulating what information should be submitted, and how that information will be treated.  </w:t>
      </w:r>
      <w:r w:rsidR="00B309E1" w:rsidRPr="00EE42A7">
        <w:t>Accordingly, s</w:t>
      </w:r>
      <w:r w:rsidR="00B65342" w:rsidRPr="00EE42A7">
        <w:t xml:space="preserve">taff should take care to handle applications in accordance with the </w:t>
      </w:r>
      <w:r w:rsidR="00B65342" w:rsidRPr="00EE42A7">
        <w:rPr>
          <w:i/>
        </w:rPr>
        <w:t xml:space="preserve">Information Act </w:t>
      </w:r>
      <w:r w:rsidR="00B65342" w:rsidRPr="00EE42A7">
        <w:t>2002 (NT)</w:t>
      </w:r>
      <w:r w:rsidR="0014493B" w:rsidRPr="00EE42A7">
        <w:t>, and</w:t>
      </w:r>
      <w:r w:rsidR="00B309E1" w:rsidRPr="00EE42A7">
        <w:t xml:space="preserve"> utilise standardised application forms </w:t>
      </w:r>
      <w:r w:rsidR="0014493B" w:rsidRPr="00EE42A7">
        <w:t>and templates whenever possible.</w:t>
      </w:r>
    </w:p>
    <w:p w:rsidR="00206B6A" w:rsidRPr="00EE42A7" w:rsidRDefault="007C130C" w:rsidP="007C130C">
      <w:pPr>
        <w:pStyle w:val="Heading3"/>
      </w:pPr>
      <w:bookmarkStart w:id="22" w:name="_Toc373104424"/>
      <w:r w:rsidRPr="00EE42A7">
        <w:t>ESP Details</w:t>
      </w:r>
      <w:bookmarkEnd w:id="22"/>
    </w:p>
    <w:p w:rsidR="001F2809" w:rsidRPr="00EE42A7" w:rsidRDefault="001F2809" w:rsidP="00206B6A">
      <w:r w:rsidRPr="00EE42A7">
        <w:t>ESPs should provide the following administrative details on an application, to identify their organisational status:</w:t>
      </w:r>
    </w:p>
    <w:p w:rsidR="001F2809" w:rsidRPr="00EE42A7" w:rsidRDefault="001F2809" w:rsidP="001F2809">
      <w:pPr>
        <w:pStyle w:val="ListParagraph"/>
        <w:numPr>
          <w:ilvl w:val="0"/>
          <w:numId w:val="9"/>
        </w:numPr>
      </w:pPr>
      <w:r w:rsidRPr="00EE42A7">
        <w:t>Legal Name – the name that identifies the ESP for legal, administrative and other official purposes;</w:t>
      </w:r>
    </w:p>
    <w:p w:rsidR="00015D98" w:rsidRPr="00EE42A7" w:rsidRDefault="001F2809" w:rsidP="001F2809">
      <w:pPr>
        <w:pStyle w:val="ListParagraph"/>
        <w:numPr>
          <w:ilvl w:val="0"/>
          <w:numId w:val="9"/>
        </w:numPr>
      </w:pPr>
      <w:r w:rsidRPr="00EE42A7">
        <w:t>Trading Name – the name used by the ESP for commercial trading, publicity and provision of services, which may differ from their legal name</w:t>
      </w:r>
      <w:r w:rsidR="000D1CB4" w:rsidRPr="00EE42A7">
        <w:t xml:space="preserve">; </w:t>
      </w:r>
    </w:p>
    <w:p w:rsidR="001F2809" w:rsidRPr="00EE42A7" w:rsidRDefault="001F2809" w:rsidP="001F2809">
      <w:pPr>
        <w:pStyle w:val="ListParagraph"/>
        <w:numPr>
          <w:ilvl w:val="0"/>
          <w:numId w:val="9"/>
        </w:numPr>
      </w:pPr>
      <w:r w:rsidRPr="00EE42A7">
        <w:t xml:space="preserve">Organisational Class </w:t>
      </w:r>
      <w:r w:rsidR="001D1B3A" w:rsidRPr="00EE42A7">
        <w:t>–</w:t>
      </w:r>
      <w:r w:rsidRPr="00EE42A7">
        <w:t xml:space="preserve"> </w:t>
      </w:r>
      <w:r w:rsidR="001D1B3A" w:rsidRPr="00EE42A7">
        <w:t xml:space="preserve">the type of organisation the ESP is, which determines the legal and administrative framework to which it is accountable; </w:t>
      </w:r>
    </w:p>
    <w:p w:rsidR="001D1B3A" w:rsidRPr="00EE42A7" w:rsidRDefault="001D1B3A" w:rsidP="001F2809">
      <w:pPr>
        <w:pStyle w:val="ListParagraph"/>
        <w:numPr>
          <w:ilvl w:val="0"/>
          <w:numId w:val="9"/>
        </w:numPr>
      </w:pPr>
      <w:r w:rsidRPr="00EE42A7">
        <w:t xml:space="preserve">Identification Numbers – these may include their incorporation number, ACNC, ABN, ACN, </w:t>
      </w:r>
      <w:r w:rsidR="00D86A4C" w:rsidRPr="00EE42A7">
        <w:t xml:space="preserve">ARBN, </w:t>
      </w:r>
      <w:r w:rsidRPr="00EE42A7">
        <w:t>NTG vendor identification number</w:t>
      </w:r>
      <w:r w:rsidR="00BB10B8" w:rsidRPr="00EE42A7">
        <w:t xml:space="preserve"> (vendor ID)</w:t>
      </w:r>
      <w:r w:rsidRPr="00EE42A7">
        <w:t xml:space="preserve">, or other similar identifiers; </w:t>
      </w:r>
    </w:p>
    <w:p w:rsidR="001D1B3A" w:rsidRPr="00EE42A7" w:rsidRDefault="001D1B3A" w:rsidP="001F2809">
      <w:pPr>
        <w:pStyle w:val="ListParagraph"/>
        <w:numPr>
          <w:ilvl w:val="0"/>
          <w:numId w:val="9"/>
        </w:numPr>
      </w:pPr>
      <w:r w:rsidRPr="00EE42A7">
        <w:t>Head Office Address – the registered place of business for the ESP</w:t>
      </w:r>
      <w:r w:rsidR="000D1CB4" w:rsidRPr="00EE42A7">
        <w:t>;</w:t>
      </w:r>
    </w:p>
    <w:p w:rsidR="001D1B3A" w:rsidRPr="00EE42A7" w:rsidRDefault="001D1B3A" w:rsidP="001F2809">
      <w:pPr>
        <w:pStyle w:val="ListParagraph"/>
        <w:numPr>
          <w:ilvl w:val="0"/>
          <w:numId w:val="9"/>
        </w:numPr>
      </w:pPr>
      <w:r w:rsidRPr="00EE42A7">
        <w:t>Postal Address – the address to which correspondence should be directed</w:t>
      </w:r>
      <w:r w:rsidR="000D1CB4" w:rsidRPr="00EE42A7">
        <w:t xml:space="preserve">; </w:t>
      </w:r>
    </w:p>
    <w:p w:rsidR="001D1B3A" w:rsidRDefault="001D1B3A" w:rsidP="001F2809">
      <w:pPr>
        <w:pStyle w:val="ListParagraph"/>
        <w:numPr>
          <w:ilvl w:val="0"/>
          <w:numId w:val="9"/>
        </w:numPr>
      </w:pPr>
      <w:r w:rsidRPr="00EE42A7">
        <w:t>Contact Details – the name, position, phone and email</w:t>
      </w:r>
      <w:r>
        <w:t xml:space="preserve"> contact for an authorised representative of the ESP</w:t>
      </w:r>
      <w:r w:rsidR="000D1CB4">
        <w:t>; and</w:t>
      </w:r>
    </w:p>
    <w:p w:rsidR="001D1B3A" w:rsidRDefault="000D1CB4" w:rsidP="000D1CB4">
      <w:pPr>
        <w:pStyle w:val="ListParagraph"/>
        <w:numPr>
          <w:ilvl w:val="0"/>
          <w:numId w:val="9"/>
        </w:numPr>
      </w:pPr>
      <w:r>
        <w:t>GST Registration Status – the taxation status of the organisation, which determines whether payments are subject to, or exempt from GST.</w:t>
      </w:r>
      <w:r>
        <w:rPr>
          <w:rStyle w:val="FootnoteReference"/>
        </w:rPr>
        <w:footnoteReference w:id="9"/>
      </w:r>
    </w:p>
    <w:p w:rsidR="00F22208" w:rsidRDefault="007C130C" w:rsidP="00F22208">
      <w:pPr>
        <w:pStyle w:val="Heading3"/>
      </w:pPr>
      <w:bookmarkStart w:id="23" w:name="_Toc373104425"/>
      <w:r>
        <w:t>Affiliated Entities</w:t>
      </w:r>
      <w:bookmarkEnd w:id="23"/>
    </w:p>
    <w:p w:rsidR="00507DEA" w:rsidRPr="00EE42A7" w:rsidRDefault="007E7AC4" w:rsidP="00F22208">
      <w:r>
        <w:t xml:space="preserve">Whilst </w:t>
      </w:r>
      <w:r w:rsidR="00BB10B8" w:rsidRPr="00EE42A7">
        <w:t>NT</w:t>
      </w:r>
      <w:r w:rsidR="0099408C" w:rsidRPr="00EE42A7">
        <w:t xml:space="preserve">CS </w:t>
      </w:r>
      <w:r w:rsidRPr="00EE42A7">
        <w:t xml:space="preserve">will </w:t>
      </w:r>
      <w:r w:rsidR="0099408C" w:rsidRPr="00EE42A7">
        <w:t xml:space="preserve">not </w:t>
      </w:r>
      <w:r w:rsidRPr="00EE42A7">
        <w:t xml:space="preserve">enter into contractual relationships </w:t>
      </w:r>
      <w:r w:rsidR="0099408C" w:rsidRPr="00EE42A7">
        <w:t>with</w:t>
      </w:r>
      <w:r w:rsidRPr="00EE42A7">
        <w:t xml:space="preserve"> consortium</w:t>
      </w:r>
      <w:r w:rsidR="0099408C" w:rsidRPr="00EE42A7">
        <w:t xml:space="preserve">s, ESPs </w:t>
      </w:r>
      <w:r w:rsidRPr="00EE42A7">
        <w:t>may, acting as a primary contracting party,</w:t>
      </w:r>
      <w:r w:rsidR="0099408C" w:rsidRPr="00EE42A7">
        <w:t xml:space="preserve"> wish to</w:t>
      </w:r>
      <w:r w:rsidRPr="00EE42A7">
        <w:t xml:space="preserve"> auspice, partner, or subcontract with other organisations or ind</w:t>
      </w:r>
      <w:r w:rsidR="0099408C" w:rsidRPr="00EE42A7">
        <w:t xml:space="preserve">ividuals to deliver services.  In such cases, ESPs should identify the legal name, contact details, and street address of </w:t>
      </w:r>
      <w:r w:rsidR="006651DC" w:rsidRPr="00EE42A7">
        <w:t>all</w:t>
      </w:r>
      <w:r w:rsidR="0099408C" w:rsidRPr="00EE42A7">
        <w:t xml:space="preserve"> entities they intend to affiliate with</w:t>
      </w:r>
      <w:r w:rsidR="006651DC" w:rsidRPr="00EE42A7">
        <w:t xml:space="preserve">; the agency has a responsibility to obtain these details </w:t>
      </w:r>
      <w:r w:rsidR="006B01CE" w:rsidRPr="00EE42A7">
        <w:t xml:space="preserve">and be apprised of all parties with whom it may become involved. </w:t>
      </w:r>
    </w:p>
    <w:p w:rsidR="00F22208" w:rsidRPr="00EE42A7" w:rsidRDefault="00B6581B" w:rsidP="00B6581B">
      <w:pPr>
        <w:pStyle w:val="Heading3"/>
      </w:pPr>
      <w:bookmarkStart w:id="24" w:name="_Toc373104426"/>
      <w:r w:rsidRPr="00EE42A7">
        <w:t>Financial Information</w:t>
      </w:r>
      <w:bookmarkEnd w:id="24"/>
    </w:p>
    <w:p w:rsidR="00BF6D9F" w:rsidRPr="00EE42A7" w:rsidRDefault="00BF6D9F" w:rsidP="00F22208">
      <w:r w:rsidRPr="00EE42A7">
        <w:t>ESPs should fully and faithfully provide financial details</w:t>
      </w:r>
      <w:r w:rsidR="00147BA5" w:rsidRPr="00EE42A7">
        <w:t>, by financial year,</w:t>
      </w:r>
      <w:r w:rsidRPr="00EE42A7">
        <w:t xml:space="preserve"> itemising:</w:t>
      </w:r>
    </w:p>
    <w:p w:rsidR="00BF6D9F" w:rsidRPr="00EE42A7" w:rsidRDefault="00BF6D9F" w:rsidP="00BF6D9F">
      <w:pPr>
        <w:pStyle w:val="ListParagraph"/>
        <w:numPr>
          <w:ilvl w:val="0"/>
          <w:numId w:val="9"/>
        </w:numPr>
      </w:pPr>
      <w:r w:rsidRPr="00EE42A7">
        <w:t xml:space="preserve">All cash and in kind income they </w:t>
      </w:r>
      <w:r w:rsidR="004A448E" w:rsidRPr="00EE42A7">
        <w:t>will, or expect</w:t>
      </w:r>
      <w:r w:rsidRPr="00EE42A7">
        <w:t xml:space="preserve"> </w:t>
      </w:r>
      <w:r w:rsidR="004A448E" w:rsidRPr="00EE42A7">
        <w:t xml:space="preserve">to </w:t>
      </w:r>
      <w:r w:rsidRPr="00EE42A7">
        <w:t xml:space="preserve">receive </w:t>
      </w:r>
      <w:r w:rsidR="00BB10B8" w:rsidRPr="00EE42A7">
        <w:t>from sources other than NT</w:t>
      </w:r>
      <w:r w:rsidR="00E91B13" w:rsidRPr="00EE42A7">
        <w:t xml:space="preserve">CS which are </w:t>
      </w:r>
      <w:r w:rsidRPr="00EE42A7">
        <w:t>relevant to their application for funding</w:t>
      </w:r>
      <w:r w:rsidR="00E91B13" w:rsidRPr="00EE42A7">
        <w:t xml:space="preserve">; </w:t>
      </w:r>
      <w:r w:rsidRPr="00EE42A7">
        <w:t xml:space="preserve"> </w:t>
      </w:r>
    </w:p>
    <w:p w:rsidR="00BF6D9F" w:rsidRPr="00EE42A7" w:rsidRDefault="00BF6D9F" w:rsidP="00BF6D9F">
      <w:pPr>
        <w:pStyle w:val="ListParagraph"/>
        <w:numPr>
          <w:ilvl w:val="0"/>
          <w:numId w:val="9"/>
        </w:numPr>
      </w:pPr>
      <w:r w:rsidRPr="00EE42A7">
        <w:t>All recurrent, non-recurrent and asset purchase expenses t</w:t>
      </w:r>
      <w:r w:rsidR="00E91B13" w:rsidRPr="00EE42A7">
        <w:t>hey expect to</w:t>
      </w:r>
      <w:r w:rsidRPr="00EE42A7">
        <w:t xml:space="preserve"> incur to deliver services, events and/or activities</w:t>
      </w:r>
      <w:r w:rsidR="00E91B13" w:rsidRPr="00EE42A7">
        <w:t xml:space="preserve"> for the grant project</w:t>
      </w:r>
      <w:r w:rsidRPr="00EE42A7">
        <w:t>; and</w:t>
      </w:r>
    </w:p>
    <w:p w:rsidR="00BF6D9F" w:rsidRPr="00EE42A7" w:rsidRDefault="00BF6D9F" w:rsidP="00BF6D9F">
      <w:pPr>
        <w:pStyle w:val="ListParagraph"/>
        <w:numPr>
          <w:ilvl w:val="0"/>
          <w:numId w:val="9"/>
        </w:numPr>
      </w:pPr>
      <w:r w:rsidRPr="00EE42A7">
        <w:t>All recurrent, non-recurrent and asset purchase funding being requested to deliver the services, events and/or activities</w:t>
      </w:r>
      <w:r w:rsidR="00E91B13" w:rsidRPr="00EE42A7">
        <w:t xml:space="preserve"> for the grant project.  </w:t>
      </w:r>
    </w:p>
    <w:p w:rsidR="006035E2" w:rsidRDefault="005F5535" w:rsidP="00F22208">
      <w:r>
        <w:t xml:space="preserve">Numerical information should be submitted in accordance with SCOA categorisations, and accompanied by </w:t>
      </w:r>
      <w:r w:rsidR="005F29D2">
        <w:t xml:space="preserve">written </w:t>
      </w:r>
      <w:r>
        <w:t>descriptions</w:t>
      </w:r>
      <w:r w:rsidR="005F29D2">
        <w:t xml:space="preserve"> or explanations</w:t>
      </w:r>
      <w:r>
        <w:t xml:space="preserve"> </w:t>
      </w:r>
      <w:r w:rsidR="005F29D2">
        <w:t>for</w:t>
      </w:r>
      <w:r>
        <w:t xml:space="preserve"> each s</w:t>
      </w:r>
      <w:r w:rsidR="00BF6D9F">
        <w:t xml:space="preserve">ource of income, anticipated expense, and </w:t>
      </w:r>
      <w:r>
        <w:t xml:space="preserve">line item of </w:t>
      </w:r>
      <w:r w:rsidR="005F29D2">
        <w:t xml:space="preserve">requested funding.  </w:t>
      </w:r>
      <w:r w:rsidR="00147BA5">
        <w:t xml:space="preserve">ESPs should also clearly specify the </w:t>
      </w:r>
      <w:r w:rsidR="00147BA5" w:rsidRPr="00147BA5">
        <w:t xml:space="preserve">date range </w:t>
      </w:r>
      <w:r w:rsidR="00147BA5" w:rsidRPr="00147BA5">
        <w:lastRenderedPageBreak/>
        <w:t xml:space="preserve">for which </w:t>
      </w:r>
      <w:r w:rsidR="00147BA5">
        <w:t>they are seeking</w:t>
      </w:r>
      <w:r w:rsidR="00147BA5" w:rsidRPr="00147BA5">
        <w:t xml:space="preserve"> </w:t>
      </w:r>
      <w:r w:rsidR="006035E2">
        <w:t xml:space="preserve">funding; these dates must fall within the project start and end date.  </w:t>
      </w:r>
    </w:p>
    <w:p w:rsidR="00B6581B" w:rsidRDefault="00B6581B" w:rsidP="00B6581B">
      <w:pPr>
        <w:pStyle w:val="Heading3"/>
      </w:pPr>
      <w:bookmarkStart w:id="25" w:name="_Toc373104427"/>
      <w:r>
        <w:t>Service Locations</w:t>
      </w:r>
      <w:bookmarkEnd w:id="25"/>
    </w:p>
    <w:p w:rsidR="00E96E0E" w:rsidRDefault="00E96E0E" w:rsidP="00DD6BF8">
      <w:r>
        <w:t>D</w:t>
      </w:r>
      <w:r w:rsidRPr="00E96E0E">
        <w:t xml:space="preserve">etails for </w:t>
      </w:r>
      <w:r>
        <w:t>each</w:t>
      </w:r>
      <w:r w:rsidRPr="00E96E0E">
        <w:t xml:space="preserve"> office or place from which service</w:t>
      </w:r>
      <w:r>
        <w:t>s</w:t>
      </w:r>
      <w:r w:rsidRPr="00E96E0E">
        <w:t xml:space="preserve"> will be administered, </w:t>
      </w:r>
      <w:r>
        <w:t xml:space="preserve">as well as the actual locations where services, events or activities will be provided, should be supplied by the ESP.  In relation to the former, ESPs should specify the office name, street address, and operating hours of each office to provide an indication of their administrative capacity.  </w:t>
      </w:r>
      <w:r w:rsidR="001C4DC4">
        <w:t xml:space="preserve">Regarding the latter, actual service locations should be described in line with NTG Land and Information Services standard classifications for regions, sub-regions, and suburbs/localities.  </w:t>
      </w:r>
    </w:p>
    <w:p w:rsidR="00B6581B" w:rsidRDefault="00B6581B" w:rsidP="00B6581B">
      <w:pPr>
        <w:pStyle w:val="Heading3"/>
      </w:pPr>
      <w:bookmarkStart w:id="26" w:name="_Toc373104428"/>
      <w:r>
        <w:t>Capacity, Needs and Risks</w:t>
      </w:r>
      <w:bookmarkEnd w:id="26"/>
    </w:p>
    <w:p w:rsidR="00DB6882" w:rsidRDefault="00C95EF4" w:rsidP="00A63420">
      <w:r>
        <w:t xml:space="preserve">ESPs should </w:t>
      </w:r>
      <w:r w:rsidR="00DB6882">
        <w:t>describe</w:t>
      </w:r>
      <w:r>
        <w:t xml:space="preserve"> their capacity to achieve the required objectives of the grant project</w:t>
      </w:r>
      <w:r w:rsidR="00DB6882">
        <w:t xml:space="preserve"> with regard to the:</w:t>
      </w:r>
    </w:p>
    <w:p w:rsidR="00DB6882" w:rsidRDefault="00DB6882" w:rsidP="00DB6882">
      <w:pPr>
        <w:pStyle w:val="ListParagraph"/>
        <w:numPr>
          <w:ilvl w:val="0"/>
          <w:numId w:val="9"/>
        </w:numPr>
      </w:pPr>
      <w:r>
        <w:t>Target groups of people the project is seeking to assist;</w:t>
      </w:r>
    </w:p>
    <w:p w:rsidR="00DB6882" w:rsidRDefault="00DB6882" w:rsidP="00DB6882">
      <w:pPr>
        <w:pStyle w:val="ListParagraph"/>
        <w:numPr>
          <w:ilvl w:val="0"/>
          <w:numId w:val="9"/>
        </w:numPr>
      </w:pPr>
      <w:r>
        <w:t>Target issues the project is seeking to address;</w:t>
      </w:r>
    </w:p>
    <w:p w:rsidR="00DB6882" w:rsidRDefault="00DB6882" w:rsidP="00DB6882">
      <w:pPr>
        <w:pStyle w:val="ListParagraph"/>
        <w:numPr>
          <w:ilvl w:val="0"/>
          <w:numId w:val="9"/>
        </w:numPr>
      </w:pPr>
      <w:r>
        <w:t xml:space="preserve">Outcomes the </w:t>
      </w:r>
      <w:r w:rsidR="002B58FD">
        <w:t>ESP will be expected to achieve;</w:t>
      </w:r>
    </w:p>
    <w:p w:rsidR="00DB6882" w:rsidRDefault="00DB6882" w:rsidP="00DB6882">
      <w:pPr>
        <w:pStyle w:val="ListParagraph"/>
        <w:numPr>
          <w:ilvl w:val="0"/>
          <w:numId w:val="9"/>
        </w:numPr>
      </w:pPr>
      <w:r>
        <w:t>Outputs the ESP will be expected to deliver</w:t>
      </w:r>
      <w:r w:rsidR="002B58FD">
        <w:t>; and</w:t>
      </w:r>
    </w:p>
    <w:p w:rsidR="00DB6882" w:rsidRDefault="00DB6882" w:rsidP="002B58FD">
      <w:pPr>
        <w:pStyle w:val="ListParagraph"/>
        <w:numPr>
          <w:ilvl w:val="0"/>
          <w:numId w:val="9"/>
        </w:numPr>
      </w:pPr>
      <w:r>
        <w:t>Selection criteria against which applications will be assessed</w:t>
      </w:r>
      <w:r w:rsidR="002B58FD">
        <w:t>.</w:t>
      </w:r>
    </w:p>
    <w:p w:rsidR="00C95EF4" w:rsidRPr="00A63420" w:rsidRDefault="00E62F07" w:rsidP="00A63420">
      <w:r>
        <w:t xml:space="preserve">Additionally, ESPs should draw attention to anything </w:t>
      </w:r>
      <w:r w:rsidR="004E2050">
        <w:t xml:space="preserve">non-financial </w:t>
      </w:r>
      <w:r>
        <w:t>they will</w:t>
      </w:r>
      <w:r w:rsidR="005501FA">
        <w:t xml:space="preserve"> need to </w:t>
      </w:r>
      <w:r>
        <w:t xml:space="preserve">achieve the required objectives of the grant project, and any known </w:t>
      </w:r>
      <w:r w:rsidR="005501FA">
        <w:t>risk factors</w:t>
      </w:r>
      <w:r w:rsidR="00283DC7">
        <w:t xml:space="preserve"> </w:t>
      </w:r>
      <w:r w:rsidR="00DC19D0">
        <w:t xml:space="preserve">or dependencies </w:t>
      </w:r>
      <w:r w:rsidR="00283DC7">
        <w:t>associated with providing the</w:t>
      </w:r>
      <w:r w:rsidR="00EF4647">
        <w:t xml:space="preserve"> proposed</w:t>
      </w:r>
      <w:r w:rsidR="00283DC7">
        <w:t xml:space="preserve"> </w:t>
      </w:r>
      <w:r w:rsidR="005501FA">
        <w:t>service</w:t>
      </w:r>
      <w:r w:rsidR="00283DC7">
        <w:t>s</w:t>
      </w:r>
      <w:r w:rsidR="005501FA">
        <w:t>, event</w:t>
      </w:r>
      <w:r w:rsidR="00283DC7">
        <w:t>s</w:t>
      </w:r>
      <w:r w:rsidR="005501FA">
        <w:t xml:space="preserve"> and/or activit</w:t>
      </w:r>
      <w:r w:rsidR="00283DC7">
        <w:t>ies</w:t>
      </w:r>
      <w:r w:rsidR="005501FA">
        <w:t>.</w:t>
      </w:r>
      <w:r w:rsidR="0059522F">
        <w:t xml:space="preserve">  </w:t>
      </w:r>
    </w:p>
    <w:p w:rsidR="00F22208" w:rsidRDefault="007C130C" w:rsidP="007C130C">
      <w:pPr>
        <w:pStyle w:val="Heading3"/>
      </w:pPr>
      <w:bookmarkStart w:id="27" w:name="_Toc373104429"/>
      <w:r>
        <w:t>Other Documents</w:t>
      </w:r>
      <w:bookmarkEnd w:id="27"/>
    </w:p>
    <w:p w:rsidR="00A60F38" w:rsidRPr="00EE42A7" w:rsidRDefault="004A51A7" w:rsidP="007C130C">
      <w:r w:rsidRPr="00EE42A7">
        <w:t>Checklis</w:t>
      </w:r>
      <w:r w:rsidR="00312E4C" w:rsidRPr="00EE42A7">
        <w:t>t documents</w:t>
      </w:r>
      <w:r w:rsidR="008F2039" w:rsidRPr="00EE42A7">
        <w:t xml:space="preserve"> </w:t>
      </w:r>
      <w:r w:rsidR="00312E4C" w:rsidRPr="00EE42A7">
        <w:t>requested by NT</w:t>
      </w:r>
      <w:r w:rsidRPr="00EE42A7">
        <w:t xml:space="preserve">CS in the SOR should be supplied </w:t>
      </w:r>
      <w:r w:rsidR="00E34A4C" w:rsidRPr="00EE42A7">
        <w:t xml:space="preserve">by the ESP </w:t>
      </w:r>
      <w:r w:rsidRPr="00EE42A7">
        <w:t xml:space="preserve">at the time of application submission, in order to ensure completeness and allow the agency to make informed decisions on the merits of the papers alone.  </w:t>
      </w:r>
      <w:r w:rsidR="00AC0927" w:rsidRPr="00EE42A7">
        <w:t xml:space="preserve">The agency should endeavour to reduce the administrative burden on ESPs by </w:t>
      </w:r>
      <w:r w:rsidR="000A5268" w:rsidRPr="00EE42A7">
        <w:t>retaining</w:t>
      </w:r>
      <w:r w:rsidR="00AC0927" w:rsidRPr="00EE42A7">
        <w:t xml:space="preserve"> </w:t>
      </w:r>
      <w:r w:rsidR="000A5268" w:rsidRPr="00EE42A7">
        <w:t xml:space="preserve">all </w:t>
      </w:r>
      <w:r w:rsidR="00AC0927" w:rsidRPr="00EE42A7">
        <w:t xml:space="preserve">checklist documents which have been submitted with previous grant applications.  </w:t>
      </w:r>
      <w:r w:rsidR="008F2039" w:rsidRPr="00EE42A7">
        <w:t>ESPs must indicate if NT</w:t>
      </w:r>
      <w:r w:rsidR="0088747F" w:rsidRPr="00EE42A7">
        <w:t xml:space="preserve">CS should already </w:t>
      </w:r>
      <w:r w:rsidR="00610083" w:rsidRPr="00EE42A7">
        <w:t>possess</w:t>
      </w:r>
      <w:r w:rsidR="0088747F" w:rsidRPr="00EE42A7">
        <w:t xml:space="preserve"> such documents, </w:t>
      </w:r>
      <w:r w:rsidR="00FC7650" w:rsidRPr="00EE42A7">
        <w:t>but</w:t>
      </w:r>
      <w:r w:rsidR="00610083" w:rsidRPr="00EE42A7">
        <w:t xml:space="preserve"> also resubmit them </w:t>
      </w:r>
      <w:r w:rsidR="0088747F" w:rsidRPr="00EE42A7">
        <w:t xml:space="preserve">in the event that they </w:t>
      </w:r>
      <w:r w:rsidR="00FC7650" w:rsidRPr="00EE42A7">
        <w:t xml:space="preserve">are out of date or </w:t>
      </w:r>
      <w:r w:rsidR="0088747F" w:rsidRPr="00EE42A7">
        <w:t xml:space="preserve">have been superseded. </w:t>
      </w:r>
      <w:r w:rsidR="00BC4762" w:rsidRPr="00EE42A7">
        <w:t xml:space="preserve"> </w:t>
      </w:r>
      <w:r w:rsidR="003E0941" w:rsidRPr="00EE42A7">
        <w:t xml:space="preserve">Additional supporting documentation may also be provided by the ESP to highlight any extra matters they wish to draw to the attention </w:t>
      </w:r>
      <w:r w:rsidR="00CD0F49" w:rsidRPr="00EE42A7">
        <w:t>of the assessors</w:t>
      </w:r>
      <w:r w:rsidR="003E0941" w:rsidRPr="00EE42A7">
        <w:t xml:space="preserve"> </w:t>
      </w:r>
      <w:r w:rsidR="00301632" w:rsidRPr="00EE42A7">
        <w:t xml:space="preserve">of </w:t>
      </w:r>
      <w:r w:rsidR="003E0941" w:rsidRPr="00EE42A7">
        <w:t xml:space="preserve">their application.  </w:t>
      </w:r>
    </w:p>
    <w:p w:rsidR="00B6581B" w:rsidRPr="00EE42A7" w:rsidRDefault="00B6581B" w:rsidP="00FB0F85">
      <w:pPr>
        <w:pStyle w:val="Heading2"/>
      </w:pPr>
      <w:bookmarkStart w:id="28" w:name="_Toc373104430"/>
      <w:r w:rsidRPr="00EE42A7">
        <w:t>A</w:t>
      </w:r>
      <w:r w:rsidR="0021547C" w:rsidRPr="00EE42A7">
        <w:t>pplication Appraisal</w:t>
      </w:r>
      <w:bookmarkEnd w:id="28"/>
    </w:p>
    <w:p w:rsidR="001A5289" w:rsidRDefault="00752E3C" w:rsidP="00F1109B">
      <w:pPr>
        <w:pStyle w:val="BoxedText"/>
      </w:pPr>
      <w:r w:rsidRPr="00EE42A7">
        <w:t xml:space="preserve">Applications must be considered systematically, and be independently assessed, reviewed, and where appropriate approved, by persons with appropriate administrative delegation to participate in the application consideration process.  Those persons adjudicating </w:t>
      </w:r>
      <w:r w:rsidR="001A5289" w:rsidRPr="00EE42A7">
        <w:t xml:space="preserve">should consider the merits of </w:t>
      </w:r>
      <w:r w:rsidR="00630948" w:rsidRPr="00EE42A7">
        <w:t>an</w:t>
      </w:r>
      <w:r w:rsidR="001A5289" w:rsidRPr="00EE42A7">
        <w:t xml:space="preserve"> application based o</w:t>
      </w:r>
      <w:r w:rsidR="006C4C57" w:rsidRPr="00EE42A7">
        <w:t>n the selection criteria for NT</w:t>
      </w:r>
      <w:r w:rsidR="001A5289" w:rsidRPr="00EE42A7">
        <w:t xml:space="preserve">CS grants, and determine the quantum and period of funding to be recommended, and volume, type, and frequency of reporting requirements, proportional to </w:t>
      </w:r>
      <w:r w:rsidR="00630948" w:rsidRPr="00EE42A7">
        <w:t>any</w:t>
      </w:r>
      <w:r w:rsidR="001A5289" w:rsidRPr="00EE42A7">
        <w:t xml:space="preserve"> risks involved.</w:t>
      </w:r>
      <w:r w:rsidR="001A5289">
        <w:t xml:space="preserve">  </w:t>
      </w:r>
    </w:p>
    <w:p w:rsidR="008F30C7" w:rsidRDefault="008F30C7" w:rsidP="004D7623"/>
    <w:p w:rsidR="00752E3C" w:rsidRDefault="00EF4957" w:rsidP="004D7623">
      <w:r>
        <w:t xml:space="preserve">Agency staff should </w:t>
      </w:r>
      <w:r w:rsidR="00D30980">
        <w:t xml:space="preserve">ordinarily </w:t>
      </w:r>
      <w:r>
        <w:t xml:space="preserve">adhere to a </w:t>
      </w:r>
      <w:r w:rsidR="00397685">
        <w:t xml:space="preserve">uniform workflow for </w:t>
      </w:r>
      <w:r w:rsidR="00241049">
        <w:t>appraisal</w:t>
      </w:r>
      <w:r w:rsidR="00D30980">
        <w:t xml:space="preserve">, irrespective of the particulars of an application.  </w:t>
      </w:r>
      <w:r w:rsidR="00DE663E">
        <w:t xml:space="preserve">Where there is a departure from the common approved process, the reasons should be documented.  Likewise, appraisers should document when </w:t>
      </w:r>
      <w:r w:rsidR="00DE663E">
        <w:lastRenderedPageBreak/>
        <w:t xml:space="preserve">referring to, or relying upon, knowledge or documentation other than that which has been submitted by the ESP.  At the conclusion of the </w:t>
      </w:r>
      <w:r w:rsidR="006A32FE">
        <w:t xml:space="preserve">consideration process, ESPs should be notified </w:t>
      </w:r>
      <w:r w:rsidR="00B67F1C">
        <w:t>if</w:t>
      </w:r>
      <w:r w:rsidR="006A32FE">
        <w:t xml:space="preserve"> their application has been denied, and if so why, or </w:t>
      </w:r>
      <w:r w:rsidR="00B67F1C">
        <w:t xml:space="preserve">alternatively </w:t>
      </w:r>
      <w:r w:rsidR="006A32FE">
        <w:t xml:space="preserve">if their application has been approved to progress to contract drafting.  </w:t>
      </w:r>
    </w:p>
    <w:p w:rsidR="00B6581B" w:rsidRDefault="00B6581B" w:rsidP="00B6581B">
      <w:pPr>
        <w:pStyle w:val="Heading3"/>
      </w:pPr>
      <w:bookmarkStart w:id="29" w:name="_Toc373104431"/>
      <w:r>
        <w:t>Role Allocation</w:t>
      </w:r>
      <w:bookmarkEnd w:id="29"/>
    </w:p>
    <w:p w:rsidR="00630948" w:rsidRDefault="00630948" w:rsidP="00B6581B">
      <w:r>
        <w:t xml:space="preserve">Proper internal control and accountability arrangements dictate that no single person should appraise an application from end-to-end; the risk of mistakes and misjudgements and even fraud can arise when applications are not independently examined by more than one party.  </w:t>
      </w:r>
      <w:r w:rsidR="000C4A92">
        <w:t>Thus</w:t>
      </w:r>
      <w:r>
        <w:t xml:space="preserve"> the wo</w:t>
      </w:r>
      <w:r w:rsidR="006C4C57">
        <w:t xml:space="preserve">rkflow to be followed by </w:t>
      </w:r>
      <w:r w:rsidR="006C4C57" w:rsidRPr="00EE42A7">
        <w:t>NT</w:t>
      </w:r>
      <w:r w:rsidRPr="00EE42A7">
        <w:t>CS in considering</w:t>
      </w:r>
      <w:r>
        <w:t xml:space="preserve"> applications is as follows:</w:t>
      </w:r>
    </w:p>
    <w:p w:rsidR="00630948" w:rsidRDefault="00630948" w:rsidP="00630948">
      <w:pPr>
        <w:pStyle w:val="ListParagraph"/>
        <w:numPr>
          <w:ilvl w:val="0"/>
          <w:numId w:val="9"/>
        </w:numPr>
      </w:pPr>
      <w:r>
        <w:t xml:space="preserve">Assessment – a first examination of the application by one or more </w:t>
      </w:r>
      <w:r w:rsidR="00F27C54">
        <w:t>A</w:t>
      </w:r>
      <w:r w:rsidR="00257AF5">
        <w:t>ssessors</w:t>
      </w:r>
      <w:r w:rsidR="00F27C54">
        <w:t xml:space="preserve"> (ASR)</w:t>
      </w:r>
      <w:r>
        <w:t xml:space="preserve">, culminating in recommendations regarding what level of risk is involved, how well the application satisfies selection criteria, and whether the application should </w:t>
      </w:r>
      <w:r w:rsidR="00D90764">
        <w:t>be approved (and if so, for what period and what quantum of funding</w:t>
      </w:r>
      <w:r w:rsidR="00241049">
        <w:t xml:space="preserve"> by type</w:t>
      </w:r>
      <w:r w:rsidR="00D90764">
        <w:t>);</w:t>
      </w:r>
    </w:p>
    <w:p w:rsidR="00D90764" w:rsidRDefault="00D90764" w:rsidP="00630948">
      <w:pPr>
        <w:pStyle w:val="ListParagraph"/>
        <w:numPr>
          <w:ilvl w:val="0"/>
          <w:numId w:val="9"/>
        </w:numPr>
      </w:pPr>
      <w:r>
        <w:t xml:space="preserve">Review – a secondary examination conducted independently, but with knowledge of the assessment recommendations, by a </w:t>
      </w:r>
      <w:r w:rsidR="00F27C54">
        <w:t>Reviewer (REV)</w:t>
      </w:r>
      <w:r>
        <w:t xml:space="preserve"> who may or may not be a superior officer of the </w:t>
      </w:r>
      <w:r w:rsidR="00CA2A2B">
        <w:t>ASR</w:t>
      </w:r>
      <w:r>
        <w:t xml:space="preserve">, culminating in a </w:t>
      </w:r>
      <w:r w:rsidR="008B22F1">
        <w:t>second</w:t>
      </w:r>
      <w:r>
        <w:t xml:space="preserve"> set of recommendations; and </w:t>
      </w:r>
    </w:p>
    <w:p w:rsidR="00D90764" w:rsidRDefault="00D90764" w:rsidP="00FB05FB">
      <w:pPr>
        <w:pStyle w:val="ListParagraph"/>
        <w:numPr>
          <w:ilvl w:val="0"/>
          <w:numId w:val="9"/>
        </w:numPr>
      </w:pPr>
      <w:r>
        <w:t xml:space="preserve">Approval – a final appraisal of both the </w:t>
      </w:r>
      <w:r w:rsidR="00F27C54">
        <w:t>A</w:t>
      </w:r>
      <w:r w:rsidR="00CA2A2B">
        <w:t>SR</w:t>
      </w:r>
      <w:r>
        <w:t xml:space="preserve"> recommendations, and </w:t>
      </w:r>
      <w:r w:rsidR="00F27C54">
        <w:t>R</w:t>
      </w:r>
      <w:r w:rsidR="00CA2A2B">
        <w:t>EV</w:t>
      </w:r>
      <w:r>
        <w:t xml:space="preserve"> recommendations, conducted by a </w:t>
      </w:r>
      <w:r w:rsidR="00CA2A2B">
        <w:t>D</w:t>
      </w:r>
      <w:r w:rsidR="00F27C54">
        <w:t>elegate (DEL)</w:t>
      </w:r>
      <w:r>
        <w:t xml:space="preserve"> with </w:t>
      </w:r>
      <w:r w:rsidR="00257AF5">
        <w:t xml:space="preserve">sufficient financial delegation to undertake the appraisal, </w:t>
      </w:r>
      <w:r>
        <w:t xml:space="preserve">culminating in a decision to either </w:t>
      </w:r>
      <w:r w:rsidR="00257AF5">
        <w:t xml:space="preserve">disapprove the application, seek revisions to the period, quantum </w:t>
      </w:r>
      <w:r w:rsidR="00CA2A2B">
        <w:t xml:space="preserve">and type </w:t>
      </w:r>
      <w:r w:rsidR="00257AF5">
        <w:t xml:space="preserve">of funding, or approve the application to proceed to contract drafting.  </w:t>
      </w:r>
    </w:p>
    <w:p w:rsidR="00630948" w:rsidRDefault="001516EF" w:rsidP="0020144D">
      <w:pPr>
        <w:ind w:right="-188"/>
      </w:pPr>
      <w:r>
        <w:t xml:space="preserve">The aim in following a workflow involving a clear separation of duties is to ensure good internal controls, but also distribute grants tasks </w:t>
      </w:r>
      <w:r w:rsidR="00304649">
        <w:t>amongst</w:t>
      </w:r>
      <w:r>
        <w:t xml:space="preserve"> staff, bearing in mind differing levels of operational acumen, available time, levels of managerial responsibility, and decision-making authority.  Regarding revisions, i</w:t>
      </w:r>
      <w:r w:rsidR="00F27C54">
        <w:t>n the interests of probity, the DEL may not overwrite the actual appraisals of the ASR and REV</w:t>
      </w:r>
      <w:r w:rsidR="00BC67DA">
        <w:t>.  T</w:t>
      </w:r>
      <w:r w:rsidR="00F27C54">
        <w:t xml:space="preserve">hey may however, based on their superior position, level of delegation, experience, and knowledge of </w:t>
      </w:r>
      <w:r w:rsidR="00BC67DA">
        <w:t xml:space="preserve">the agency, effectively overrule recommendations made by subordinate staff – </w:t>
      </w:r>
      <w:r w:rsidR="009338AA">
        <w:t>given tha</w:t>
      </w:r>
      <w:r w:rsidR="00BC67DA">
        <w:t xml:space="preserve">t </w:t>
      </w:r>
      <w:r w:rsidR="0026317C">
        <w:t xml:space="preserve">the DEL is </w:t>
      </w:r>
      <w:r w:rsidR="00BC67DA">
        <w:t>ultimately accountable for the decision to recommend progression to a contract being offered to an ESP.</w:t>
      </w:r>
      <w:r w:rsidR="00543C04">
        <w:t xml:space="preserve">  </w:t>
      </w:r>
    </w:p>
    <w:p w:rsidR="006B2E15" w:rsidRDefault="00D81DF6" w:rsidP="00B6581B">
      <w:r>
        <w:t xml:space="preserve">Note that </w:t>
      </w:r>
      <w:r w:rsidR="005718A2">
        <w:t xml:space="preserve">an </w:t>
      </w:r>
      <w:r>
        <w:t xml:space="preserve">approval does not in and of itself, </w:t>
      </w:r>
      <w:r w:rsidR="005718A2">
        <w:t xml:space="preserve">result in the immediate release of funds – it is purely a commitment to expenditure.  </w:t>
      </w:r>
      <w:r w:rsidR="005718A2" w:rsidRPr="00B30B41">
        <w:t>A contractual offer must be made to the applicant</w:t>
      </w:r>
      <w:r w:rsidR="00DD1D3E" w:rsidRPr="00B30B41">
        <w:t xml:space="preserve"> </w:t>
      </w:r>
      <w:r w:rsidR="005718A2" w:rsidRPr="00B30B41">
        <w:t xml:space="preserve">ESP, which </w:t>
      </w:r>
      <w:r w:rsidR="00DD1D3E" w:rsidRPr="00B30B41">
        <w:t xml:space="preserve">if accepted, </w:t>
      </w:r>
      <w:r w:rsidR="001E1C44" w:rsidRPr="00B30B41">
        <w:t xml:space="preserve">and then executed, </w:t>
      </w:r>
      <w:r w:rsidR="00DD1D3E" w:rsidRPr="00B30B41">
        <w:t>creates a legally binding obligation to disburse grant funding</w:t>
      </w:r>
      <w:r w:rsidR="001A335C" w:rsidRPr="00B30B41">
        <w:t xml:space="preserve"> (this reference legally binds this department to release payments to ESPs as per Schedule of Milestones without first seeking approval to r</w:t>
      </w:r>
      <w:r w:rsidR="00B30B41">
        <w:t>elease from the program areas</w:t>
      </w:r>
      <w:r w:rsidR="001A335C" w:rsidRPr="00B30B41">
        <w:t>)</w:t>
      </w:r>
      <w:r w:rsidR="00DD1D3E" w:rsidRPr="00B30B41">
        <w:t>.</w:t>
      </w:r>
      <w:r w:rsidR="00DD1D3E">
        <w:t xml:space="preserve">  </w:t>
      </w:r>
      <w:r w:rsidR="001E1C44">
        <w:t>Nevertheless, it is imperative that a DEL holds the requ</w:t>
      </w:r>
      <w:r w:rsidR="0026317C">
        <w:t>isite delegation to make the in-</w:t>
      </w:r>
      <w:r w:rsidR="001E1C44">
        <w:t xml:space="preserve">principle commitment. </w:t>
      </w:r>
    </w:p>
    <w:p w:rsidR="00976243" w:rsidRPr="00EE42A7" w:rsidRDefault="001E1C44" w:rsidP="00543C04">
      <w:r>
        <w:t xml:space="preserve">Levels of delegation are determined by the agency and may be periodically </w:t>
      </w:r>
      <w:r w:rsidR="006B2E15">
        <w:t xml:space="preserve">reviewed and </w:t>
      </w:r>
      <w:r>
        <w:t>revised</w:t>
      </w:r>
      <w:r w:rsidR="006B2E15">
        <w:t>.</w:t>
      </w:r>
      <w:r w:rsidR="008B22F1">
        <w:rPr>
          <w:rStyle w:val="FootnoteReference"/>
        </w:rPr>
        <w:footnoteReference w:id="10"/>
      </w:r>
      <w:r w:rsidR="006B2E15">
        <w:t xml:space="preserve">  As such, it is incumbent upon staff to s</w:t>
      </w:r>
      <w:r w:rsidR="00543C04">
        <w:t xml:space="preserve">tay apprised of changes.  Internal delegations also specify who is authorised to actually </w:t>
      </w:r>
      <w:r w:rsidR="00976243">
        <w:t xml:space="preserve">sign and execute a </w:t>
      </w:r>
      <w:r w:rsidR="00543C04">
        <w:t>contract</w:t>
      </w:r>
      <w:r w:rsidR="00976243">
        <w:t xml:space="preserve"> with an ESP.  </w:t>
      </w:r>
      <w:r w:rsidR="00991A45">
        <w:t>A</w:t>
      </w:r>
      <w:r w:rsidR="00543C04">
        <w:t xml:space="preserve"> </w:t>
      </w:r>
      <w:r w:rsidR="00976243">
        <w:t>contract signatory</w:t>
      </w:r>
      <w:r w:rsidR="00543C04">
        <w:t xml:space="preserve"> may be t</w:t>
      </w:r>
      <w:r w:rsidR="001A335C">
        <w:t xml:space="preserve">he DEL, or may, depending on </w:t>
      </w:r>
      <w:r w:rsidR="001A335C" w:rsidRPr="00EE42A7">
        <w:t>NT</w:t>
      </w:r>
      <w:r w:rsidR="00543C04" w:rsidRPr="00EE42A7">
        <w:t xml:space="preserve">CS </w:t>
      </w:r>
      <w:r w:rsidR="00976243" w:rsidRPr="00EE42A7">
        <w:t>protocols</w:t>
      </w:r>
      <w:r w:rsidR="00991A45" w:rsidRPr="00EE42A7">
        <w:t xml:space="preserve">, be another </w:t>
      </w:r>
      <w:r w:rsidR="004C18D5" w:rsidRPr="00EE42A7">
        <w:t xml:space="preserve">superior member of the agency.  </w:t>
      </w:r>
    </w:p>
    <w:p w:rsidR="00B6581B" w:rsidRPr="00EE42A7" w:rsidRDefault="00FB0F85" w:rsidP="00B6581B">
      <w:pPr>
        <w:pStyle w:val="Heading3"/>
      </w:pPr>
      <w:bookmarkStart w:id="30" w:name="_Toc373104432"/>
      <w:r w:rsidRPr="00EE42A7">
        <w:t xml:space="preserve">Selection </w:t>
      </w:r>
      <w:r w:rsidR="00B6581B" w:rsidRPr="00EE42A7">
        <w:t>Criteria</w:t>
      </w:r>
      <w:bookmarkEnd w:id="30"/>
    </w:p>
    <w:p w:rsidR="00482EB3" w:rsidRPr="00EE42A7" w:rsidRDefault="00FB05FB" w:rsidP="00482EB3">
      <w:r w:rsidRPr="00EE42A7">
        <w:lastRenderedPageBreak/>
        <w:t>T</w:t>
      </w:r>
      <w:r w:rsidR="00781E8C" w:rsidRPr="00EE42A7">
        <w:t xml:space="preserve">o appraise applications fairly </w:t>
      </w:r>
      <w:r w:rsidRPr="00EE42A7">
        <w:t xml:space="preserve">and consistently, </w:t>
      </w:r>
      <w:r w:rsidR="00781E8C" w:rsidRPr="00EE42A7">
        <w:t>and ensure the agency has a d</w:t>
      </w:r>
      <w:r w:rsidR="001D40F6" w:rsidRPr="00EE42A7">
        <w:t>efensible basis for s</w:t>
      </w:r>
      <w:r w:rsidR="00637D33" w:rsidRPr="00EE42A7">
        <w:t>e</w:t>
      </w:r>
      <w:r w:rsidR="001D40F6" w:rsidRPr="00EE42A7">
        <w:t>l</w:t>
      </w:r>
      <w:r w:rsidR="00637D33" w:rsidRPr="00EE42A7">
        <w:t>ecting grant recipients</w:t>
      </w:r>
      <w:r w:rsidRPr="00EE42A7">
        <w:t>, it is important that selec</w:t>
      </w:r>
      <w:r w:rsidR="00B64114" w:rsidRPr="00EE42A7">
        <w:t xml:space="preserve">tion criteria are predetermined, </w:t>
      </w:r>
      <w:r w:rsidR="00CC6562" w:rsidRPr="00EE42A7">
        <w:t>published</w:t>
      </w:r>
      <w:r w:rsidR="00B64114" w:rsidRPr="00EE42A7">
        <w:t xml:space="preserve">, and </w:t>
      </w:r>
      <w:r w:rsidR="00F64DF5" w:rsidRPr="00EE42A7">
        <w:t xml:space="preserve">uniformly </w:t>
      </w:r>
      <w:r w:rsidR="00B64114" w:rsidRPr="00EE42A7">
        <w:t>applied</w:t>
      </w:r>
      <w:r w:rsidRPr="00EE42A7">
        <w:t xml:space="preserve">.  </w:t>
      </w:r>
      <w:r w:rsidR="00122D96" w:rsidRPr="00EE42A7">
        <w:t>For NTCS, all grant applications are</w:t>
      </w:r>
      <w:r w:rsidR="00482EB3" w:rsidRPr="00EE42A7">
        <w:t xml:space="preserve"> </w:t>
      </w:r>
      <w:r w:rsidR="00122D96" w:rsidRPr="00EE42A7">
        <w:t>considered</w:t>
      </w:r>
      <w:r w:rsidR="00482EB3" w:rsidRPr="00EE42A7">
        <w:t xml:space="preserve"> against four </w:t>
      </w:r>
      <w:r w:rsidR="00724BE8" w:rsidRPr="00EE42A7">
        <w:t xml:space="preserve">equally-weighted, </w:t>
      </w:r>
      <w:r w:rsidR="00482EB3" w:rsidRPr="00EE42A7">
        <w:t>overarching criteria:</w:t>
      </w:r>
    </w:p>
    <w:p w:rsidR="00122D96" w:rsidRPr="00EE42A7" w:rsidRDefault="00482EB3" w:rsidP="00482EB3">
      <w:pPr>
        <w:pStyle w:val="ListParagraph"/>
        <w:numPr>
          <w:ilvl w:val="0"/>
          <w:numId w:val="12"/>
        </w:numPr>
      </w:pPr>
      <w:r w:rsidRPr="00EE42A7">
        <w:t>Capacity to deliver</w:t>
      </w:r>
      <w:r w:rsidR="00122D96" w:rsidRPr="00EE42A7">
        <w:t xml:space="preserve"> – whether an ESP </w:t>
      </w:r>
      <w:r w:rsidRPr="00EE42A7">
        <w:t>has the capability and experience to achieve some or all of the objectives of the project.</w:t>
      </w:r>
    </w:p>
    <w:p w:rsidR="00B7126A" w:rsidRDefault="00482EB3" w:rsidP="00FB05FB">
      <w:pPr>
        <w:pStyle w:val="ListParagraph"/>
        <w:numPr>
          <w:ilvl w:val="0"/>
          <w:numId w:val="12"/>
        </w:numPr>
      </w:pPr>
      <w:r>
        <w:t xml:space="preserve">Ability to meet project priorities – how well the service, event or activity meets the priorities of the </w:t>
      </w:r>
      <w:r w:rsidR="00B7126A">
        <w:t>grant</w:t>
      </w:r>
      <w:r>
        <w:t xml:space="preserve"> project, and will address the target issue/s.</w:t>
      </w:r>
    </w:p>
    <w:p w:rsidR="00B7126A" w:rsidRDefault="00482EB3" w:rsidP="00FB05FB">
      <w:pPr>
        <w:pStyle w:val="ListParagraph"/>
        <w:numPr>
          <w:ilvl w:val="0"/>
          <w:numId w:val="12"/>
        </w:numPr>
      </w:pPr>
      <w:r>
        <w:t>Ability to meet community needs – how well the service, event or activity meets the needs of the community and will make a difference to the target group/s.</w:t>
      </w:r>
    </w:p>
    <w:p w:rsidR="00482EB3" w:rsidRDefault="00482EB3" w:rsidP="00FB05FB">
      <w:pPr>
        <w:pStyle w:val="ListParagraph"/>
        <w:numPr>
          <w:ilvl w:val="0"/>
          <w:numId w:val="12"/>
        </w:numPr>
      </w:pPr>
      <w:r>
        <w:t xml:space="preserve">Value for money – whether the cost of the service, event or activity represents fair expenditure, relative to the outputs </w:t>
      </w:r>
      <w:r w:rsidR="00B7126A">
        <w:t xml:space="preserve">and outcomes </w:t>
      </w:r>
      <w:r>
        <w:t>to be delivered.</w:t>
      </w:r>
    </w:p>
    <w:p w:rsidR="00D801A4" w:rsidRPr="00EE42A7" w:rsidRDefault="00F64DF5" w:rsidP="00482EB3">
      <w:r>
        <w:t>Using</w:t>
      </w:r>
      <w:r w:rsidR="00883C6B">
        <w:t xml:space="preserve"> </w:t>
      </w:r>
      <w:r w:rsidR="00D801A4">
        <w:t xml:space="preserve">these </w:t>
      </w:r>
      <w:r w:rsidR="00883C6B">
        <w:t>broad but uniform criteria allows appraisers to consider a range of subordinate issues that may be relevant for a given project or application.</w:t>
      </w:r>
      <w:r w:rsidR="00D801A4">
        <w:t xml:space="preserve">  Overall though, appraisers should be mindful of whether </w:t>
      </w:r>
      <w:r w:rsidR="007B5085">
        <w:t>an</w:t>
      </w:r>
      <w:r w:rsidR="00D801A4">
        <w:t xml:space="preserve"> application, if approved, will </w:t>
      </w:r>
      <w:r w:rsidR="009174DF">
        <w:t xml:space="preserve">provide ‘added value’ by achieving something worthwhile that would not otherwise occur </w:t>
      </w:r>
      <w:r w:rsidR="001A335C">
        <w:t xml:space="preserve">without the assistance of an </w:t>
      </w:r>
      <w:r w:rsidR="001A335C" w:rsidRPr="00EE42A7">
        <w:t>NT</w:t>
      </w:r>
      <w:r w:rsidR="009174DF" w:rsidRPr="00EE42A7">
        <w:t xml:space="preserve">CS grant.  </w:t>
      </w:r>
    </w:p>
    <w:p w:rsidR="007B5085" w:rsidRPr="00EE42A7" w:rsidRDefault="001437BA" w:rsidP="004321FA">
      <w:r w:rsidRPr="00EE42A7">
        <w:t xml:space="preserve">The </w:t>
      </w:r>
      <w:r w:rsidR="003B3013" w:rsidRPr="00EE42A7">
        <w:t>ASR</w:t>
      </w:r>
      <w:r w:rsidRPr="00EE42A7">
        <w:t xml:space="preserve"> and R</w:t>
      </w:r>
      <w:r w:rsidR="003B3013" w:rsidRPr="00EE42A7">
        <w:t>EV</w:t>
      </w:r>
      <w:r w:rsidRPr="00EE42A7">
        <w:t xml:space="preserve"> of an application </w:t>
      </w:r>
      <w:r w:rsidR="007B5085" w:rsidRPr="00EE42A7">
        <w:t xml:space="preserve">apply the criteria </w:t>
      </w:r>
      <w:r w:rsidR="004321FA" w:rsidRPr="00EE42A7">
        <w:t xml:space="preserve">by providing </w:t>
      </w:r>
      <w:r w:rsidR="007B5085" w:rsidRPr="00EE42A7">
        <w:t>a s</w:t>
      </w:r>
      <w:r w:rsidRPr="00EE42A7">
        <w:t xml:space="preserve">core and rationale against each, </w:t>
      </w:r>
      <w:r w:rsidR="007B5085" w:rsidRPr="00EE42A7">
        <w:t xml:space="preserve">based on the totality of </w:t>
      </w:r>
      <w:r w:rsidR="00724BE8" w:rsidRPr="00EE42A7">
        <w:t xml:space="preserve">the </w:t>
      </w:r>
      <w:r w:rsidR="007B5085" w:rsidRPr="00EE42A7">
        <w:t>application content submitted.</w:t>
      </w:r>
      <w:r w:rsidRPr="00EE42A7">
        <w:t xml:space="preserve">  </w:t>
      </w:r>
      <w:r w:rsidR="00373629" w:rsidRPr="00EE42A7">
        <w:t xml:space="preserve">The scoring methodology </w:t>
      </w:r>
      <w:r w:rsidR="00724BE8" w:rsidRPr="00EE42A7">
        <w:t xml:space="preserve">utilises </w:t>
      </w:r>
      <w:r w:rsidR="00373629" w:rsidRPr="00EE42A7">
        <w:t>a</w:t>
      </w:r>
      <w:r w:rsidR="005E2B24" w:rsidRPr="00EE42A7">
        <w:t xml:space="preserve"> defined numerical (and not ordinal) rating scale, </w:t>
      </w:r>
      <w:r w:rsidR="00724BE8" w:rsidRPr="00EE42A7">
        <w:t xml:space="preserve">so as to allow for rational differentiation </w:t>
      </w:r>
      <w:r w:rsidR="005E2B24" w:rsidRPr="00EE42A7">
        <w:t>between applications</w:t>
      </w:r>
      <w:r w:rsidR="00724BE8" w:rsidRPr="00EE42A7">
        <w:t xml:space="preserve"> based on their merit</w:t>
      </w:r>
      <w:r w:rsidR="005E2B24" w:rsidRPr="00EE42A7">
        <w:t xml:space="preserve"> with </w:t>
      </w:r>
      <w:r w:rsidR="00373629" w:rsidRPr="00EE42A7">
        <w:t>respect</w:t>
      </w:r>
      <w:r w:rsidR="005E2B24" w:rsidRPr="00EE42A7">
        <w:t xml:space="preserve"> to the selection criteria.  </w:t>
      </w:r>
      <w:r w:rsidR="00CA1395" w:rsidRPr="00EE42A7">
        <w:t xml:space="preserve">Numerical assessment at this stage also enables quantitative evaluation of performance over the life of a Funding Contract, by providing a starting point for ongoing calculations.  </w:t>
      </w:r>
    </w:p>
    <w:p w:rsidR="00B6581B" w:rsidRPr="00EE42A7" w:rsidRDefault="00B6581B" w:rsidP="00B6581B">
      <w:pPr>
        <w:pStyle w:val="Heading3"/>
      </w:pPr>
      <w:bookmarkStart w:id="31" w:name="_Toc373104433"/>
      <w:r w:rsidRPr="00EE42A7">
        <w:t xml:space="preserve">Risk </w:t>
      </w:r>
      <w:r w:rsidR="0002073B" w:rsidRPr="00EE42A7">
        <w:t>Evaluation</w:t>
      </w:r>
      <w:bookmarkEnd w:id="31"/>
    </w:p>
    <w:p w:rsidR="00A953F7" w:rsidRPr="00EE42A7" w:rsidRDefault="00CA1395" w:rsidP="005D48A1">
      <w:r w:rsidRPr="00EE42A7">
        <w:t>Identifying what risks are associated with an application is a critical task in the appraisal process</w:t>
      </w:r>
      <w:r w:rsidR="003B3013" w:rsidRPr="00EE42A7">
        <w:t xml:space="preserve">.  Some risks can be adequately mitigated </w:t>
      </w:r>
      <w:r w:rsidR="005D48A1" w:rsidRPr="00EE42A7">
        <w:t>during</w:t>
      </w:r>
      <w:r w:rsidR="003B3013" w:rsidRPr="00EE42A7">
        <w:t xml:space="preserve"> the </w:t>
      </w:r>
      <w:r w:rsidR="005D48A1" w:rsidRPr="00EE42A7">
        <w:t>establishment of the grant project through careful planning and design, however others require consideration at the application appraisal stage, bearing in mind the particulars of an ESP’s submission.  Risks may non-exhaustively include</w:t>
      </w:r>
      <w:r w:rsidR="003B3013" w:rsidRPr="00EE42A7">
        <w:t>:</w:t>
      </w:r>
    </w:p>
    <w:p w:rsidR="005D48A1" w:rsidRPr="00EE42A7" w:rsidRDefault="003B3013" w:rsidP="00D547AA">
      <w:pPr>
        <w:pStyle w:val="ListParagraph"/>
        <w:numPr>
          <w:ilvl w:val="0"/>
          <w:numId w:val="9"/>
        </w:numPr>
      </w:pPr>
      <w:r w:rsidRPr="00EE42A7">
        <w:t>P</w:t>
      </w:r>
      <w:r w:rsidR="00CA1395" w:rsidRPr="00EE42A7">
        <w:t>otential legal risks</w:t>
      </w:r>
      <w:r w:rsidR="005D48A1" w:rsidRPr="00EE42A7">
        <w:t xml:space="preserve">, </w:t>
      </w:r>
      <w:r w:rsidR="00CA1395" w:rsidRPr="00EE42A7">
        <w:t>including the likelihood of personal injury, property damage, or defamation</w:t>
      </w:r>
      <w:r w:rsidR="00007896" w:rsidRPr="00EE42A7">
        <w:t xml:space="preserve">, or </w:t>
      </w:r>
      <w:r w:rsidR="00CA1395" w:rsidRPr="00EE42A7">
        <w:t xml:space="preserve">breach of legislation, contract, </w:t>
      </w:r>
      <w:r w:rsidR="00007896" w:rsidRPr="00EE42A7">
        <w:t xml:space="preserve">or </w:t>
      </w:r>
      <w:r w:rsidR="00CA1395" w:rsidRPr="00EE42A7">
        <w:t>intellectual property rights</w:t>
      </w:r>
      <w:r w:rsidR="00007896" w:rsidRPr="00EE42A7">
        <w:t xml:space="preserve"> resulting from performance of services by an ESP</w:t>
      </w:r>
      <w:r w:rsidR="00CA1395" w:rsidRPr="00EE42A7">
        <w:t xml:space="preserve">; </w:t>
      </w:r>
      <w:r w:rsidR="005D48A1" w:rsidRPr="00EE42A7">
        <w:t>and</w:t>
      </w:r>
    </w:p>
    <w:p w:rsidR="00BB728B" w:rsidRPr="00EE42A7" w:rsidRDefault="005D48A1" w:rsidP="00BB728B">
      <w:pPr>
        <w:pStyle w:val="ListParagraph"/>
        <w:numPr>
          <w:ilvl w:val="0"/>
          <w:numId w:val="9"/>
        </w:numPr>
      </w:pPr>
      <w:r w:rsidRPr="00EE42A7">
        <w:t>N</w:t>
      </w:r>
      <w:r w:rsidR="00CA1395" w:rsidRPr="00EE42A7">
        <w:t xml:space="preserve">on-legal risks such as financial </w:t>
      </w:r>
      <w:r w:rsidRPr="00EE42A7">
        <w:t xml:space="preserve">loss </w:t>
      </w:r>
      <w:r w:rsidR="00CA1395" w:rsidRPr="00EE42A7">
        <w:t xml:space="preserve">and reputational </w:t>
      </w:r>
      <w:r w:rsidR="001A335C" w:rsidRPr="00EE42A7">
        <w:t>damage to NT</w:t>
      </w:r>
      <w:r w:rsidRPr="00EE42A7">
        <w:t>CS</w:t>
      </w:r>
      <w:r w:rsidR="00BB728B" w:rsidRPr="00EE42A7">
        <w:t xml:space="preserve">, arising from </w:t>
      </w:r>
      <w:r w:rsidR="00007896" w:rsidRPr="00EE42A7">
        <w:t xml:space="preserve">inadequate, </w:t>
      </w:r>
      <w:r w:rsidR="00BB728B" w:rsidRPr="00EE42A7">
        <w:t xml:space="preserve">late or incomplete performance of services by an ESP.  </w:t>
      </w:r>
    </w:p>
    <w:p w:rsidR="00217A30" w:rsidRPr="00EE42A7" w:rsidRDefault="00BB728B" w:rsidP="00217A30">
      <w:r>
        <w:t xml:space="preserve">The ASR and REV of an application should consider the totality </w:t>
      </w:r>
      <w:r w:rsidR="00217A30">
        <w:t xml:space="preserve">of an ESP’s submission </w:t>
      </w:r>
      <w:r w:rsidR="00D9225F">
        <w:t>in evaluating</w:t>
      </w:r>
      <w:r>
        <w:t xml:space="preserve"> whether a potential </w:t>
      </w:r>
      <w:r w:rsidR="00217A30">
        <w:t>engagement</w:t>
      </w:r>
      <w:r>
        <w:t xml:space="preserve"> would involve low, medium, </w:t>
      </w:r>
      <w:r w:rsidR="001A335C">
        <w:t xml:space="preserve">high, or extreme risk </w:t>
      </w:r>
      <w:r w:rsidR="001A335C" w:rsidRPr="00EE42A7">
        <w:t>to NT</w:t>
      </w:r>
      <w:r w:rsidRPr="00EE42A7">
        <w:t>CS.</w:t>
      </w:r>
      <w:r w:rsidRPr="00EE42A7">
        <w:rPr>
          <w:rStyle w:val="FootnoteReference"/>
        </w:rPr>
        <w:footnoteReference w:id="11"/>
      </w:r>
      <w:r w:rsidR="00217A30" w:rsidRPr="00EE42A7">
        <w:t xml:space="preserve">  This </w:t>
      </w:r>
      <w:r w:rsidR="00350D5F" w:rsidRPr="00EE42A7">
        <w:t xml:space="preserve">risk </w:t>
      </w:r>
      <w:r w:rsidR="00217A30" w:rsidRPr="00EE42A7">
        <w:t xml:space="preserve">evaluation will then determine the base reporting and acquittal requirements for a grant Funding Contract, based on the principle of proportionality.  </w:t>
      </w:r>
    </w:p>
    <w:p w:rsidR="002E5351" w:rsidRPr="00EE42A7" w:rsidRDefault="00423612" w:rsidP="00B6581B">
      <w:r w:rsidRPr="00EE42A7">
        <w:t>P</w:t>
      </w:r>
      <w:r w:rsidR="00007896" w:rsidRPr="00EE42A7">
        <w:t xml:space="preserve">roportionality in relation to grants administration involves striking an appropriate balance between the </w:t>
      </w:r>
      <w:r w:rsidR="00350D5F" w:rsidRPr="00EE42A7">
        <w:t>complexity of a grant activity, and the risks involv</w:t>
      </w:r>
      <w:r w:rsidR="001A335C" w:rsidRPr="00EE42A7">
        <w:t>ed for beneficiaries and NT</w:t>
      </w:r>
      <w:r w:rsidR="00350D5F" w:rsidRPr="00EE42A7">
        <w:t xml:space="preserve">CS.  </w:t>
      </w:r>
      <w:r w:rsidR="008373A4" w:rsidRPr="00EE42A7">
        <w:lastRenderedPageBreak/>
        <w:t xml:space="preserve">Accordingly, </w:t>
      </w:r>
      <w:r w:rsidR="002E5351" w:rsidRPr="00EE42A7">
        <w:t xml:space="preserve">when evaluating the risk associated with an application, </w:t>
      </w:r>
      <w:r w:rsidR="008373A4" w:rsidRPr="00EE42A7">
        <w:t xml:space="preserve">agency staff should </w:t>
      </w:r>
      <w:r w:rsidR="004155E8" w:rsidRPr="00EE42A7">
        <w:t xml:space="preserve">non-exhaustively </w:t>
      </w:r>
      <w:r w:rsidR="008373A4" w:rsidRPr="00EE42A7">
        <w:t>be mindful of</w:t>
      </w:r>
      <w:r w:rsidR="002E5351" w:rsidRPr="00EE42A7">
        <w:t>:</w:t>
      </w:r>
    </w:p>
    <w:p w:rsidR="002E5351" w:rsidRPr="00EE42A7" w:rsidRDefault="002E5351" w:rsidP="002E5351">
      <w:pPr>
        <w:pStyle w:val="ListParagraph"/>
        <w:numPr>
          <w:ilvl w:val="0"/>
          <w:numId w:val="9"/>
        </w:numPr>
      </w:pPr>
      <w:r w:rsidRPr="00EE42A7">
        <w:t>T</w:t>
      </w:r>
      <w:r w:rsidR="008373A4" w:rsidRPr="00EE42A7">
        <w:t>he capabilities</w:t>
      </w:r>
      <w:r w:rsidR="00F15536" w:rsidRPr="00EE42A7">
        <w:t xml:space="preserve">, </w:t>
      </w:r>
      <w:r w:rsidR="008373A4" w:rsidRPr="00EE42A7">
        <w:t xml:space="preserve">limitations </w:t>
      </w:r>
      <w:r w:rsidR="00F15536" w:rsidRPr="00EE42A7">
        <w:t xml:space="preserve">and viability </w:t>
      </w:r>
      <w:r w:rsidR="008373A4" w:rsidRPr="00EE42A7">
        <w:t>of an ESP</w:t>
      </w:r>
      <w:r w:rsidRPr="00EE42A7">
        <w:t>;</w:t>
      </w:r>
    </w:p>
    <w:p w:rsidR="001C3CC1" w:rsidRPr="00EE42A7" w:rsidRDefault="002E5351" w:rsidP="002E5351">
      <w:pPr>
        <w:pStyle w:val="ListParagraph"/>
        <w:numPr>
          <w:ilvl w:val="0"/>
          <w:numId w:val="9"/>
        </w:numPr>
      </w:pPr>
      <w:r w:rsidRPr="00EE42A7">
        <w:t xml:space="preserve">The agency’s </w:t>
      </w:r>
      <w:r w:rsidR="008373A4" w:rsidRPr="00EE42A7">
        <w:t>own need for rob</w:t>
      </w:r>
      <w:r w:rsidRPr="00EE42A7">
        <w:t>ust and accountable processes;</w:t>
      </w:r>
    </w:p>
    <w:p w:rsidR="002E5351" w:rsidRPr="00EE42A7" w:rsidRDefault="002E5351" w:rsidP="002E5351">
      <w:pPr>
        <w:pStyle w:val="ListParagraph"/>
        <w:numPr>
          <w:ilvl w:val="0"/>
          <w:numId w:val="9"/>
        </w:numPr>
      </w:pPr>
      <w:r w:rsidRPr="00EE42A7">
        <w:t>The policy objectives the grant is intended to achieve;</w:t>
      </w:r>
    </w:p>
    <w:p w:rsidR="002E5351" w:rsidRPr="00EE42A7" w:rsidRDefault="002E5351" w:rsidP="002E5351">
      <w:pPr>
        <w:pStyle w:val="ListParagraph"/>
        <w:numPr>
          <w:ilvl w:val="0"/>
          <w:numId w:val="9"/>
        </w:numPr>
      </w:pPr>
      <w:r w:rsidRPr="00EE42A7">
        <w:t>The nature and type of deliverables; and</w:t>
      </w:r>
    </w:p>
    <w:p w:rsidR="002E5351" w:rsidRPr="00EE42A7" w:rsidRDefault="002E5351" w:rsidP="002E5351">
      <w:pPr>
        <w:pStyle w:val="ListParagraph"/>
        <w:numPr>
          <w:ilvl w:val="0"/>
          <w:numId w:val="9"/>
        </w:numPr>
      </w:pPr>
      <w:r w:rsidRPr="00EE42A7">
        <w:t xml:space="preserve">The value and duration of the grant.  </w:t>
      </w:r>
    </w:p>
    <w:p w:rsidR="00B6581B" w:rsidRPr="00EE42A7" w:rsidRDefault="00B6581B" w:rsidP="00B6581B">
      <w:pPr>
        <w:pStyle w:val="Heading3"/>
      </w:pPr>
      <w:bookmarkStart w:id="32" w:name="_Toc373104434"/>
      <w:r w:rsidRPr="00EE42A7">
        <w:t>Funding Recommendations</w:t>
      </w:r>
      <w:bookmarkEnd w:id="32"/>
    </w:p>
    <w:p w:rsidR="00D9225F" w:rsidRPr="00EE42A7" w:rsidRDefault="00D9225F" w:rsidP="00D9225F">
      <w:r w:rsidRPr="00EE42A7">
        <w:t xml:space="preserve">Value for money is not achieved by avoiding expenditure but rather, by spending funds wisely and judiciously.  </w:t>
      </w:r>
      <w:r w:rsidR="003B5271" w:rsidRPr="00EE42A7">
        <w:t>Recommendations for f</w:t>
      </w:r>
      <w:r w:rsidRPr="00EE42A7">
        <w:t>unding should therefore:</w:t>
      </w:r>
    </w:p>
    <w:p w:rsidR="00D9225F" w:rsidRPr="00EE42A7" w:rsidRDefault="00D9225F" w:rsidP="00D9225F">
      <w:pPr>
        <w:pStyle w:val="ListParagraph"/>
        <w:numPr>
          <w:ilvl w:val="0"/>
          <w:numId w:val="9"/>
        </w:numPr>
      </w:pPr>
      <w:r w:rsidRPr="00EE42A7">
        <w:t>Be commensurate with the duration of the services</w:t>
      </w:r>
      <w:r w:rsidR="003B5271" w:rsidRPr="00EE42A7">
        <w:t>, events or activities</w:t>
      </w:r>
      <w:r w:rsidRPr="00EE42A7">
        <w:t xml:space="preserve"> to be provid</w:t>
      </w:r>
      <w:r w:rsidR="00C9670C" w:rsidRPr="00EE42A7">
        <w:t>ed, and always fall within the p</w:t>
      </w:r>
      <w:r w:rsidRPr="00EE42A7">
        <w:t>roject funding dates;</w:t>
      </w:r>
    </w:p>
    <w:p w:rsidR="00C9670C" w:rsidRPr="00EE42A7" w:rsidRDefault="00C9670C" w:rsidP="00C9670C">
      <w:pPr>
        <w:pStyle w:val="ListParagraph"/>
        <w:numPr>
          <w:ilvl w:val="0"/>
          <w:numId w:val="9"/>
        </w:numPr>
      </w:pPr>
      <w:r w:rsidRPr="00EE42A7">
        <w:t xml:space="preserve">Consider all cash and in kind </w:t>
      </w:r>
      <w:r w:rsidRPr="00EE42A7">
        <w:rPr>
          <w:i/>
        </w:rPr>
        <w:t>income</w:t>
      </w:r>
      <w:r w:rsidRPr="00EE42A7">
        <w:t xml:space="preserve"> the ESP expects to receive from sources</w:t>
      </w:r>
      <w:r w:rsidR="001A335C" w:rsidRPr="00EE42A7">
        <w:t xml:space="preserve"> other than NT</w:t>
      </w:r>
      <w:r w:rsidRPr="00EE42A7">
        <w:t xml:space="preserve">CS which are relevant to their application for funding;  </w:t>
      </w:r>
    </w:p>
    <w:p w:rsidR="003B5271" w:rsidRPr="00EE42A7" w:rsidRDefault="00C9670C" w:rsidP="003B5271">
      <w:pPr>
        <w:pStyle w:val="ListParagraph"/>
        <w:numPr>
          <w:ilvl w:val="0"/>
          <w:numId w:val="9"/>
        </w:numPr>
      </w:pPr>
      <w:r w:rsidRPr="00EE42A7">
        <w:t>Consider a</w:t>
      </w:r>
      <w:r w:rsidR="003B5271" w:rsidRPr="00EE42A7">
        <w:t xml:space="preserve">ll recurrent, non-recurrent and asset purchase </w:t>
      </w:r>
      <w:r w:rsidR="003B5271" w:rsidRPr="00EE42A7">
        <w:rPr>
          <w:i/>
        </w:rPr>
        <w:t>expenses</w:t>
      </w:r>
      <w:r w:rsidR="003B5271" w:rsidRPr="00EE42A7">
        <w:t xml:space="preserve"> the</w:t>
      </w:r>
      <w:r w:rsidRPr="00EE42A7">
        <w:t xml:space="preserve"> ESP</w:t>
      </w:r>
      <w:r w:rsidR="003B5271" w:rsidRPr="00EE42A7">
        <w:t xml:space="preserve"> expect</w:t>
      </w:r>
      <w:r w:rsidRPr="00EE42A7">
        <w:t>s</w:t>
      </w:r>
      <w:r w:rsidR="003B5271" w:rsidRPr="00EE42A7">
        <w:t xml:space="preserve"> to incur to deliver services, events and/or activities for the grant project; and</w:t>
      </w:r>
    </w:p>
    <w:p w:rsidR="003B5271" w:rsidRPr="00EE42A7" w:rsidRDefault="00C9670C" w:rsidP="003B5271">
      <w:pPr>
        <w:pStyle w:val="ListParagraph"/>
        <w:numPr>
          <w:ilvl w:val="0"/>
          <w:numId w:val="9"/>
        </w:numPr>
      </w:pPr>
      <w:r w:rsidRPr="00EE42A7">
        <w:t>Consider a</w:t>
      </w:r>
      <w:r w:rsidR="003B5271" w:rsidRPr="00EE42A7">
        <w:t xml:space="preserve">ll recurrent, non-recurrent and asset purchase </w:t>
      </w:r>
      <w:r w:rsidR="003B5271" w:rsidRPr="00EE42A7">
        <w:rPr>
          <w:i/>
        </w:rPr>
        <w:t>funding being</w:t>
      </w:r>
      <w:r w:rsidR="003B5271" w:rsidRPr="00EE42A7">
        <w:t xml:space="preserve"> </w:t>
      </w:r>
      <w:r w:rsidR="003B5271" w:rsidRPr="00EE42A7">
        <w:rPr>
          <w:i/>
        </w:rPr>
        <w:t>requested</w:t>
      </w:r>
      <w:r w:rsidR="003B5271" w:rsidRPr="00EE42A7">
        <w:t xml:space="preserve"> </w:t>
      </w:r>
      <w:r w:rsidRPr="00EE42A7">
        <w:t xml:space="preserve">by the ESP </w:t>
      </w:r>
      <w:r w:rsidR="003B5271" w:rsidRPr="00EE42A7">
        <w:t xml:space="preserve">to deliver the services, events and/or activities for the grant project.  </w:t>
      </w:r>
    </w:p>
    <w:p w:rsidR="003B5271" w:rsidRPr="00EE42A7" w:rsidRDefault="00C9670C" w:rsidP="003B5271">
      <w:r w:rsidRPr="00EE42A7">
        <w:t xml:space="preserve">Once </w:t>
      </w:r>
      <w:r w:rsidR="00F15536" w:rsidRPr="00EE42A7">
        <w:t xml:space="preserve">all of </w:t>
      </w:r>
      <w:r w:rsidRPr="00EE42A7">
        <w:t xml:space="preserve">these </w:t>
      </w:r>
      <w:r w:rsidR="00F15536" w:rsidRPr="00EE42A7">
        <w:t xml:space="preserve">factors have been considered, the agency </w:t>
      </w:r>
      <w:r w:rsidR="009B2F77" w:rsidRPr="00EE42A7">
        <w:t xml:space="preserve">is in a position to recommend </w:t>
      </w:r>
      <w:r w:rsidR="00C077DF" w:rsidRPr="00EE42A7">
        <w:t xml:space="preserve">exactly </w:t>
      </w:r>
      <w:r w:rsidR="009B2F77" w:rsidRPr="00EE42A7">
        <w:t xml:space="preserve">what funding should be offered to </w:t>
      </w:r>
      <w:r w:rsidR="001E5BBE" w:rsidRPr="00EE42A7">
        <w:t>an</w:t>
      </w:r>
      <w:r w:rsidR="009B2F77" w:rsidRPr="00EE42A7">
        <w:t xml:space="preserve"> ESP; this may be </w:t>
      </w:r>
      <w:r w:rsidR="00771FE8" w:rsidRPr="00EE42A7">
        <w:t xml:space="preserve">all of </w:t>
      </w:r>
      <w:r w:rsidR="009B2F77" w:rsidRPr="00EE42A7">
        <w:t xml:space="preserve">what they have requested or a lesser </w:t>
      </w:r>
      <w:r w:rsidR="00F13A08" w:rsidRPr="00EE42A7">
        <w:t xml:space="preserve">sum – but not a greater amount.  </w:t>
      </w:r>
      <w:r w:rsidR="007F34E7" w:rsidRPr="00EE42A7">
        <w:t xml:space="preserve">Care should be taken to ensure that </w:t>
      </w:r>
      <w:r w:rsidR="001E5BBE" w:rsidRPr="00EE42A7">
        <w:t xml:space="preserve">any </w:t>
      </w:r>
      <w:r w:rsidR="007F34E7" w:rsidRPr="00EE42A7">
        <w:t>funding recommended is also wit</w:t>
      </w:r>
      <w:r w:rsidR="001A335C" w:rsidRPr="00EE42A7">
        <w:t>hin the current means of NT</w:t>
      </w:r>
      <w:r w:rsidR="007F34E7" w:rsidRPr="00EE42A7">
        <w:t xml:space="preserve">CS; other Funding Contracts may already be operating under the same project and resources committed </w:t>
      </w:r>
      <w:r w:rsidR="001E5BBE" w:rsidRPr="00EE42A7">
        <w:t>as a result</w:t>
      </w:r>
      <w:r w:rsidR="007F34E7" w:rsidRPr="00EE42A7">
        <w:t xml:space="preserve">.  </w:t>
      </w:r>
    </w:p>
    <w:p w:rsidR="00D9225F" w:rsidRPr="00EE42A7" w:rsidRDefault="00E54744" w:rsidP="00D45192">
      <w:r w:rsidRPr="00EE42A7">
        <w:t>An overarching consideration should be whether the grant activity could proceed</w:t>
      </w:r>
      <w:r w:rsidR="0074555B" w:rsidRPr="00EE42A7">
        <w:t xml:space="preserve"> or continue,</w:t>
      </w:r>
      <w:r w:rsidRPr="00EE42A7">
        <w:t xml:space="preserve"> in the manner and timeframe required by the agency, without f</w:t>
      </w:r>
      <w:r w:rsidR="0074555B" w:rsidRPr="00EE42A7">
        <w:t>inancial assistance – this may be the case i</w:t>
      </w:r>
      <w:r w:rsidR="0045338A" w:rsidRPr="00EE42A7">
        <w:t xml:space="preserve">f the ratio of </w:t>
      </w:r>
      <w:r w:rsidR="0074555B" w:rsidRPr="00EE42A7">
        <w:t xml:space="preserve">income to requested funding is high.  </w:t>
      </w:r>
      <w:r w:rsidRPr="00EE42A7">
        <w:t xml:space="preserve">If so, it may not be correct to recommend funding at all; grant resources </w:t>
      </w:r>
      <w:r w:rsidR="0074555B" w:rsidRPr="00EE42A7">
        <w:t>are</w:t>
      </w:r>
      <w:r w:rsidRPr="00EE42A7">
        <w:t xml:space="preserve"> </w:t>
      </w:r>
      <w:r w:rsidR="0074555B" w:rsidRPr="00EE42A7">
        <w:t>likely</w:t>
      </w:r>
      <w:r w:rsidRPr="00EE42A7">
        <w:t xml:space="preserve"> be limited and should be awarded to ESPs who require, not just desire, funding to achieve their organisational aims.  </w:t>
      </w:r>
      <w:r w:rsidR="0074555B" w:rsidRPr="00EE42A7">
        <w:t xml:space="preserve">What constitutes a high leverage ratio will vary from project to project, but is always an important factor to consider, particularly when </w:t>
      </w:r>
      <w:r w:rsidR="00DE7260" w:rsidRPr="00EE42A7">
        <w:t>an ESP is receiving finance from multiple (government and</w:t>
      </w:r>
      <w:r w:rsidR="001E5BBE" w:rsidRPr="00EE42A7">
        <w:t>/or</w:t>
      </w:r>
      <w:r w:rsidR="00DE7260" w:rsidRPr="00EE42A7">
        <w:t xml:space="preserve"> private) sources.  </w:t>
      </w:r>
      <w:r w:rsidR="000F08E5" w:rsidRPr="00EE42A7">
        <w:t xml:space="preserve">Recommending partial funding may alternatively be appropriate in these scenarios; it is the agency’s prerogative to offer funding at levels it determines are correct, whilst ESP’s may accept, reject or seek to </w:t>
      </w:r>
      <w:r w:rsidR="001E5BBE" w:rsidRPr="00EE42A7">
        <w:t>re</w:t>
      </w:r>
      <w:r w:rsidR="000F08E5" w:rsidRPr="00EE42A7">
        <w:t xml:space="preserve">negotiate offers made to them.  </w:t>
      </w:r>
    </w:p>
    <w:p w:rsidR="002F5C57" w:rsidRPr="00EE42A7" w:rsidRDefault="00B6581B" w:rsidP="002F5C57">
      <w:pPr>
        <w:pStyle w:val="Heading3"/>
      </w:pPr>
      <w:bookmarkStart w:id="33" w:name="_Toc373104435"/>
      <w:r w:rsidRPr="00EE42A7">
        <w:t>Terms and Conditions</w:t>
      </w:r>
      <w:bookmarkEnd w:id="33"/>
    </w:p>
    <w:p w:rsidR="00B41948" w:rsidRDefault="004B2DC9">
      <w:r>
        <w:t>Periodically revised s</w:t>
      </w:r>
      <w:r w:rsidR="004301B7">
        <w:t xml:space="preserve">tandard </w:t>
      </w:r>
      <w:r w:rsidR="004301B7" w:rsidRPr="00EE42A7">
        <w:t xml:space="preserve">terms and conditions should </w:t>
      </w:r>
      <w:r w:rsidR="00E127B7" w:rsidRPr="00EE42A7">
        <w:t xml:space="preserve">accompany, and </w:t>
      </w:r>
      <w:r w:rsidR="004301B7" w:rsidRPr="00EE42A7">
        <w:t>be applied to all F</w:t>
      </w:r>
      <w:r w:rsidR="001A335C" w:rsidRPr="00EE42A7">
        <w:t>unding Contracts, given that NT</w:t>
      </w:r>
      <w:r w:rsidR="004301B7" w:rsidRPr="00EE42A7">
        <w:t xml:space="preserve">CS grant activities are fundamentally subject to the same principles.  These terms will cover generic contractual matters </w:t>
      </w:r>
      <w:r w:rsidR="00E127B7" w:rsidRPr="00EE42A7">
        <w:t>and estab</w:t>
      </w:r>
      <w:r w:rsidR="001A335C" w:rsidRPr="00EE42A7">
        <w:t>lish the rights of the NT</w:t>
      </w:r>
      <w:r w:rsidR="00E127B7" w:rsidRPr="00EE42A7">
        <w:t>CS, to ensure the protection of its interests and those of the public.  It is ordinarily undesirable to add</w:t>
      </w:r>
      <w:r w:rsidR="001B726E" w:rsidRPr="00EE42A7">
        <w:t xml:space="preserve"> </w:t>
      </w:r>
      <w:r w:rsidR="00E127B7" w:rsidRPr="00EE42A7">
        <w:t xml:space="preserve">additional </w:t>
      </w:r>
      <w:r w:rsidR="001B726E" w:rsidRPr="00EE42A7">
        <w:t>s</w:t>
      </w:r>
      <w:r w:rsidRPr="00EE42A7">
        <w:t>pecial terms</w:t>
      </w:r>
      <w:r>
        <w:t xml:space="preserve"> and conditions</w:t>
      </w:r>
      <w:r w:rsidR="00E127B7">
        <w:t>; these can create confusion, risks and inconsistencies if not carefully drafted.  Nevertheless, if</w:t>
      </w:r>
      <w:r>
        <w:t xml:space="preserve"> </w:t>
      </w:r>
      <w:r w:rsidR="001209AD">
        <w:t xml:space="preserve">absolutely </w:t>
      </w:r>
      <w:r w:rsidR="001B726E">
        <w:t>required</w:t>
      </w:r>
      <w:r w:rsidR="00E127B7">
        <w:t>,</w:t>
      </w:r>
      <w:r w:rsidR="000E30FD">
        <w:t xml:space="preserve"> </w:t>
      </w:r>
      <w:r w:rsidR="00E127B7">
        <w:t xml:space="preserve">they can be added, provided they are </w:t>
      </w:r>
      <w:r w:rsidR="001209AD">
        <w:t>confirmed to be legally sound for inclusion on a Funding Contract.</w:t>
      </w:r>
      <w:r w:rsidR="00B41948">
        <w:br w:type="page"/>
      </w:r>
    </w:p>
    <w:p w:rsidR="00B41948" w:rsidRDefault="00B41948" w:rsidP="00B6581B">
      <w:pPr>
        <w:pStyle w:val="Heading1"/>
      </w:pPr>
      <w:bookmarkStart w:id="34" w:name="_Toc373104436"/>
      <w:r>
        <w:lastRenderedPageBreak/>
        <w:t>Administration of Funding Contracts</w:t>
      </w:r>
      <w:bookmarkEnd w:id="34"/>
    </w:p>
    <w:p w:rsidR="00EB489F" w:rsidRDefault="001E5BBE" w:rsidP="00B41948">
      <w:r>
        <w:t xml:space="preserve">After a grant </w:t>
      </w:r>
      <w:r w:rsidR="004D3E68">
        <w:t>application is approved</w:t>
      </w:r>
      <w:r>
        <w:t xml:space="preserve">, it progresses to contract drafting and a </w:t>
      </w:r>
      <w:r w:rsidR="00EB489F">
        <w:t xml:space="preserve">contract offer. </w:t>
      </w:r>
      <w:r w:rsidR="00302643">
        <w:t xml:space="preserve">If the recipient accepts the offer it </w:t>
      </w:r>
      <w:r w:rsidR="00EB489F">
        <w:t xml:space="preserve">can </w:t>
      </w:r>
      <w:r w:rsidR="00710E00">
        <w:t>be executed</w:t>
      </w:r>
      <w:r w:rsidR="00EB489F">
        <w:t xml:space="preserve"> as a Funding Contract – and it is only at this stage that a binding contractual commitment is created </w:t>
      </w:r>
      <w:r w:rsidR="00231027">
        <w:t xml:space="preserve">for an ESP </w:t>
      </w:r>
      <w:r w:rsidR="00EB489F">
        <w:t xml:space="preserve">to provide services, events </w:t>
      </w:r>
      <w:r w:rsidR="00D26AE2">
        <w:t>and/</w:t>
      </w:r>
      <w:r w:rsidR="00EB489F">
        <w:t xml:space="preserve">or activities in return for the award of </w:t>
      </w:r>
      <w:r w:rsidR="00231027">
        <w:t xml:space="preserve">agreed </w:t>
      </w:r>
      <w:r w:rsidR="00EB489F">
        <w:t xml:space="preserve">grant funding. </w:t>
      </w:r>
      <w:r w:rsidR="00302643">
        <w:t xml:space="preserve"> </w:t>
      </w:r>
      <w:r w:rsidR="00EB489F">
        <w:t>Thereafter, the Funding Contract requires ongoing administration</w:t>
      </w:r>
      <w:r w:rsidR="00D26AE2">
        <w:t xml:space="preserve"> by </w:t>
      </w:r>
      <w:r w:rsidR="001A335C" w:rsidRPr="00EE42A7">
        <w:t>NT</w:t>
      </w:r>
      <w:r w:rsidR="00BF687C" w:rsidRPr="00EE42A7">
        <w:t>CS</w:t>
      </w:r>
      <w:r w:rsidR="00EB489F" w:rsidRPr="00EE42A7">
        <w:t>, involving</w:t>
      </w:r>
      <w:r w:rsidR="00EB489F">
        <w:t xml:space="preserve"> payments, monitoring, milestones, financial acquittal, performance reporting, and lastly, completion.  </w:t>
      </w:r>
      <w:r w:rsidR="00D26AE2" w:rsidRPr="00B30B41">
        <w:t>These tasks require consistency in process to ensure that best practice in grants administration is achieved.</w:t>
      </w:r>
      <w:r w:rsidR="00D26AE2">
        <w:t xml:space="preserve">  </w:t>
      </w:r>
    </w:p>
    <w:p w:rsidR="00B6581B" w:rsidRDefault="002F5C57" w:rsidP="00FB0F85">
      <w:pPr>
        <w:pStyle w:val="Heading2"/>
      </w:pPr>
      <w:bookmarkStart w:id="35" w:name="_Toc373104437"/>
      <w:r>
        <w:t xml:space="preserve">Contract Drafting and </w:t>
      </w:r>
      <w:r w:rsidR="00B6581B">
        <w:t>Execution</w:t>
      </w:r>
      <w:bookmarkEnd w:id="35"/>
    </w:p>
    <w:p w:rsidR="0013621D" w:rsidRPr="00EE42A7" w:rsidRDefault="00846C2E" w:rsidP="00846C2E">
      <w:pPr>
        <w:pStyle w:val="BoxedText"/>
      </w:pPr>
      <w:r>
        <w:t>A d</w:t>
      </w:r>
      <w:r w:rsidR="0013621D">
        <w:t>raft funding c</w:t>
      </w:r>
      <w:r>
        <w:t>ontract</w:t>
      </w:r>
      <w:r w:rsidR="0013621D">
        <w:t xml:space="preserve"> should be clear, unambiguous and complete before being offered to an ESP, and must be validly executed as </w:t>
      </w:r>
      <w:r>
        <w:t xml:space="preserve">an </w:t>
      </w:r>
      <w:r w:rsidR="0013621D">
        <w:t xml:space="preserve">enforceable </w:t>
      </w:r>
      <w:r>
        <w:t>Funding Contract</w:t>
      </w:r>
      <w:r w:rsidR="0013621D">
        <w:t xml:space="preserve"> before </w:t>
      </w:r>
      <w:r>
        <w:t xml:space="preserve">the commencement of service delivery by an ESP or issuance of </w:t>
      </w:r>
      <w:r w:rsidR="0013621D">
        <w:t xml:space="preserve">any payment by </w:t>
      </w:r>
      <w:r w:rsidR="001A335C" w:rsidRPr="00EE42A7">
        <w:t>NT</w:t>
      </w:r>
      <w:r w:rsidRPr="00EE42A7">
        <w:t>CS.</w:t>
      </w:r>
    </w:p>
    <w:p w:rsidR="00CB15A4" w:rsidRPr="00EE42A7" w:rsidRDefault="00CB15A4" w:rsidP="00CB15A4">
      <w:pPr>
        <w:pStyle w:val="Heading3"/>
      </w:pPr>
      <w:bookmarkStart w:id="36" w:name="_Toc373104438"/>
      <w:r w:rsidRPr="00EE42A7">
        <w:t>Form of Contracts</w:t>
      </w:r>
      <w:bookmarkEnd w:id="36"/>
    </w:p>
    <w:p w:rsidR="00710E00" w:rsidRPr="00EE42A7" w:rsidRDefault="00710E00" w:rsidP="00710E00">
      <w:r w:rsidRPr="00EE42A7">
        <w:t xml:space="preserve">In principle, grant agreements may legitimately take different forms, and be expressed as a deed, exchange of letters, or contract.  </w:t>
      </w:r>
      <w:r w:rsidR="00EB2B08" w:rsidRPr="00EE42A7">
        <w:t>Notwithstanding, a</w:t>
      </w:r>
      <w:r w:rsidR="001A335C" w:rsidRPr="00EE42A7">
        <w:t>ll NT</w:t>
      </w:r>
      <w:r w:rsidRPr="00EE42A7">
        <w:t xml:space="preserve">CS grant agreements are constructed as </w:t>
      </w:r>
      <w:r w:rsidR="00F715CD" w:rsidRPr="00EE42A7">
        <w:t xml:space="preserve">standardised </w:t>
      </w:r>
      <w:r w:rsidRPr="00EE42A7">
        <w:t xml:space="preserve">Funding Contracts, </w:t>
      </w:r>
      <w:r w:rsidR="00F715CD" w:rsidRPr="00EE42A7">
        <w:t xml:space="preserve">with the intention that all obligations will be enforceable and contractual remedies available for breach.  </w:t>
      </w:r>
      <w:r w:rsidRPr="00EE42A7">
        <w:t>Standard forms of agreement greatly simplify administration</w:t>
      </w:r>
      <w:r w:rsidR="00F715CD" w:rsidRPr="00EE42A7">
        <w:t xml:space="preserve">, ease </w:t>
      </w:r>
      <w:r w:rsidRPr="00EE42A7">
        <w:t>confusi</w:t>
      </w:r>
      <w:r w:rsidR="00F715CD" w:rsidRPr="00EE42A7">
        <w:t xml:space="preserve">on and </w:t>
      </w:r>
      <w:r w:rsidRPr="00EE42A7">
        <w:t xml:space="preserve">reduce administrative and compliance costs.  </w:t>
      </w:r>
    </w:p>
    <w:p w:rsidR="00CB15A4" w:rsidRPr="00EE42A7" w:rsidRDefault="00CB15A4" w:rsidP="00CB15A4">
      <w:pPr>
        <w:pStyle w:val="Heading3"/>
      </w:pPr>
      <w:bookmarkStart w:id="37" w:name="_Toc373104439"/>
      <w:r w:rsidRPr="00EE42A7">
        <w:t>Execution Process</w:t>
      </w:r>
      <w:bookmarkEnd w:id="37"/>
    </w:p>
    <w:p w:rsidR="00EB2B08" w:rsidRDefault="00EB2B08" w:rsidP="00EB2B08">
      <w:r w:rsidRPr="00EE42A7">
        <w:t xml:space="preserve">A Principal </w:t>
      </w:r>
      <w:r w:rsidR="00F50A0D" w:rsidRPr="00EE42A7">
        <w:t>Grant</w:t>
      </w:r>
      <w:r w:rsidRPr="00EE42A7">
        <w:t xml:space="preserve"> Officer (P</w:t>
      </w:r>
      <w:r w:rsidR="00F50A0D" w:rsidRPr="00EE42A7">
        <w:t>G</w:t>
      </w:r>
      <w:r w:rsidRPr="00EE42A7">
        <w:t xml:space="preserve">O) should ensure that </w:t>
      </w:r>
      <w:r w:rsidR="00417C8A" w:rsidRPr="00EE42A7">
        <w:t>a</w:t>
      </w:r>
      <w:r w:rsidRPr="00EE42A7">
        <w:t xml:space="preserve"> Funding Contract is well drafted, unambiguous and complete before it is offered to an ESP.  </w:t>
      </w:r>
      <w:r w:rsidR="00AD5237" w:rsidRPr="00EE42A7">
        <w:t>Upon its return, the PG</w:t>
      </w:r>
      <w:r w:rsidR="004D7F67" w:rsidRPr="00EE42A7">
        <w:t xml:space="preserve">O should likewise confirm that it has been validly signed before submitting it to an </w:t>
      </w:r>
      <w:r w:rsidR="000E31F9" w:rsidRPr="00EE42A7">
        <w:t>NT</w:t>
      </w:r>
      <w:r w:rsidR="00417C8A" w:rsidRPr="00EE42A7">
        <w:t xml:space="preserve">CS </w:t>
      </w:r>
      <w:r w:rsidR="004D7F67" w:rsidRPr="00EE42A7">
        <w:t xml:space="preserve">officer who holds the requisite delegation to sign and execute </w:t>
      </w:r>
      <w:r w:rsidR="00417C8A" w:rsidRPr="00EE42A7">
        <w:t>a</w:t>
      </w:r>
      <w:r w:rsidR="004D7F67" w:rsidRPr="00EE42A7">
        <w:t xml:space="preserve"> </w:t>
      </w:r>
      <w:r w:rsidR="00417C8A" w:rsidRPr="00EE42A7">
        <w:t>Funding C</w:t>
      </w:r>
      <w:r w:rsidR="004D7F67" w:rsidRPr="00EE42A7">
        <w:t>ontract</w:t>
      </w:r>
      <w:r w:rsidR="00417C8A" w:rsidRPr="00EE42A7">
        <w:t>.  T</w:t>
      </w:r>
      <w:r w:rsidR="004D7F67" w:rsidRPr="00EE42A7">
        <w:t>o reiter</w:t>
      </w:r>
      <w:r w:rsidR="004D7F67">
        <w:t>ate, this contract signatory may be the DEL</w:t>
      </w:r>
      <w:r w:rsidR="00417C8A">
        <w:t xml:space="preserve"> for the project</w:t>
      </w:r>
      <w:r w:rsidR="00573ED7">
        <w:t>,</w:t>
      </w:r>
      <w:r w:rsidR="004D7F67">
        <w:t xml:space="preserve"> or another </w:t>
      </w:r>
      <w:r w:rsidR="00417C8A">
        <w:t xml:space="preserve">superior staff member.  </w:t>
      </w:r>
    </w:p>
    <w:p w:rsidR="00B06C5B" w:rsidRPr="00EE42A7" w:rsidRDefault="00A65834" w:rsidP="00302643">
      <w:r>
        <w:t>A</w:t>
      </w:r>
      <w:r w:rsidR="00573ED7">
        <w:t xml:space="preserve"> recipient ESP may of course</w:t>
      </w:r>
      <w:r>
        <w:t>,</w:t>
      </w:r>
      <w:r w:rsidR="00573ED7">
        <w:t xml:space="preserve"> choose to reject </w:t>
      </w:r>
      <w:r>
        <w:t>an</w:t>
      </w:r>
      <w:r w:rsidR="00573ED7">
        <w:t xml:space="preserve"> offer that has been made to them or ask for altered terms.  </w:t>
      </w:r>
      <w:r w:rsidR="007A5FCA">
        <w:t>The latter scenario can be accommodate</w:t>
      </w:r>
      <w:r w:rsidR="00B22914">
        <w:t>d</w:t>
      </w:r>
      <w:r w:rsidR="007A5FCA">
        <w:t xml:space="preserve"> in </w:t>
      </w:r>
      <w:r w:rsidR="00B22914">
        <w:t>practice</w:t>
      </w:r>
      <w:r w:rsidR="007A5FCA">
        <w:t xml:space="preserve"> but bear in mind that </w:t>
      </w:r>
      <w:r w:rsidR="00B22914">
        <w:t xml:space="preserve">in principle, </w:t>
      </w:r>
      <w:r w:rsidR="007A5FCA">
        <w:t xml:space="preserve">a grant is </w:t>
      </w:r>
      <w:r w:rsidR="00573ED7">
        <w:t>a</w:t>
      </w:r>
      <w:r w:rsidR="00573ED7" w:rsidRPr="00D70326">
        <w:t xml:space="preserve">n arrangement for the provision of financial </w:t>
      </w:r>
      <w:r w:rsidR="00573ED7" w:rsidRPr="00EE42A7">
        <w:t xml:space="preserve">assistance </w:t>
      </w:r>
      <w:r w:rsidR="00C03C11" w:rsidRPr="00EE42A7">
        <w:t xml:space="preserve">on </w:t>
      </w:r>
      <w:r w:rsidR="00573ED7" w:rsidRPr="00EE42A7">
        <w:t xml:space="preserve">such terms and conditions as </w:t>
      </w:r>
      <w:r w:rsidR="00573ED7" w:rsidRPr="00EE42A7">
        <w:rPr>
          <w:i/>
        </w:rPr>
        <w:t>unilaterally</w:t>
      </w:r>
      <w:r w:rsidR="00573ED7" w:rsidRPr="00EE42A7">
        <w:t xml:space="preserve"> determined by the agency.  </w:t>
      </w:r>
      <w:r w:rsidR="007A5FCA" w:rsidRPr="00EE42A7">
        <w:t>Thus wh</w:t>
      </w:r>
      <w:r w:rsidR="000E31F9" w:rsidRPr="00EE42A7">
        <w:t>ilst NT</w:t>
      </w:r>
      <w:r w:rsidR="00D547AA" w:rsidRPr="00EE42A7">
        <w:t xml:space="preserve">CS should </w:t>
      </w:r>
      <w:r w:rsidR="007A5FCA" w:rsidRPr="00EE42A7">
        <w:t xml:space="preserve">seek to work </w:t>
      </w:r>
      <w:r w:rsidR="00B22914" w:rsidRPr="00EE42A7">
        <w:t>constructively with an</w:t>
      </w:r>
      <w:r w:rsidR="007A5FCA" w:rsidRPr="00EE42A7">
        <w:t xml:space="preserve"> ESP, it is not </w:t>
      </w:r>
      <w:r w:rsidR="00B22914" w:rsidRPr="00EE42A7">
        <w:t>obliged to renegotiate an offer – especially one</w:t>
      </w:r>
      <w:r w:rsidR="007A5FCA" w:rsidRPr="00EE42A7">
        <w:t xml:space="preserve"> which will by now have been thoroughly </w:t>
      </w:r>
      <w:r w:rsidR="00B22914" w:rsidRPr="00EE42A7">
        <w:t>assessed and</w:t>
      </w:r>
      <w:r w:rsidR="007A5FCA" w:rsidRPr="00EE42A7">
        <w:t xml:space="preserve"> reviewed </w:t>
      </w:r>
      <w:r w:rsidR="00B22914" w:rsidRPr="00EE42A7">
        <w:t>prior to being</w:t>
      </w:r>
      <w:r w:rsidR="007A5FCA" w:rsidRPr="00EE42A7">
        <w:t xml:space="preserve"> approved</w:t>
      </w:r>
      <w:r w:rsidR="002A5F5D" w:rsidRPr="00EE42A7">
        <w:t xml:space="preserve"> and offered</w:t>
      </w:r>
      <w:r w:rsidR="007A5FCA" w:rsidRPr="00EE42A7">
        <w:t xml:space="preserve">.  </w:t>
      </w:r>
      <w:r w:rsidR="002A5F5D" w:rsidRPr="00EE42A7">
        <w:t>Rathe</w:t>
      </w:r>
      <w:r w:rsidR="000E31F9" w:rsidRPr="00EE42A7">
        <w:t>r, the onus resides with the NT</w:t>
      </w:r>
      <w:r w:rsidR="002A5F5D" w:rsidRPr="00EE42A7">
        <w:t>CS to ensure that the Funding Contract</w:t>
      </w:r>
      <w:r w:rsidR="008D5BD6" w:rsidRPr="00EE42A7">
        <w:t xml:space="preserve"> </w:t>
      </w:r>
      <w:r w:rsidR="002A5F5D" w:rsidRPr="00EE42A7">
        <w:t xml:space="preserve">confirms the respective obligations of both parties and </w:t>
      </w:r>
      <w:r w:rsidR="008D5BD6" w:rsidRPr="00EE42A7">
        <w:t>contain</w:t>
      </w:r>
      <w:r w:rsidR="002A5F5D" w:rsidRPr="00EE42A7">
        <w:t>s</w:t>
      </w:r>
      <w:r w:rsidR="008D5BD6" w:rsidRPr="00EE42A7">
        <w:t xml:space="preserve"> appropriate controls and accountability mechanisms to ensure that funds </w:t>
      </w:r>
      <w:r w:rsidR="002A5F5D" w:rsidRPr="00EE42A7">
        <w:t>will</w:t>
      </w:r>
      <w:r w:rsidR="008D5BD6" w:rsidRPr="00EE42A7">
        <w:t xml:space="preserve"> </w:t>
      </w:r>
      <w:r w:rsidR="00D547AA" w:rsidRPr="00EE42A7">
        <w:t xml:space="preserve">be </w:t>
      </w:r>
      <w:r w:rsidR="008D5BD6" w:rsidRPr="00EE42A7">
        <w:t>utilised for their intended purpose</w:t>
      </w:r>
      <w:r w:rsidR="002A5F5D" w:rsidRPr="00EE42A7">
        <w:t xml:space="preserve">.  </w:t>
      </w:r>
    </w:p>
    <w:p w:rsidR="00A82ADD" w:rsidRPr="00EE42A7" w:rsidRDefault="00A82ADD" w:rsidP="00A82ADD">
      <w:pPr>
        <w:pStyle w:val="Heading3"/>
      </w:pPr>
      <w:bookmarkStart w:id="38" w:name="_Toc373104440"/>
      <w:r w:rsidRPr="00EE42A7">
        <w:t>Contract Variations</w:t>
      </w:r>
      <w:bookmarkEnd w:id="38"/>
    </w:p>
    <w:p w:rsidR="00352536" w:rsidRDefault="00BF687C" w:rsidP="00A82ADD">
      <w:r w:rsidRPr="00EE42A7">
        <w:t>Once executed, Funding Contracts should be honoured in their unaltered form, until such time as they expire or are terminated.  V</w:t>
      </w:r>
      <w:r w:rsidR="00A82ADD" w:rsidRPr="00EE42A7">
        <w:t>ariation</w:t>
      </w:r>
      <w:r w:rsidRPr="00EE42A7">
        <w:t>s</w:t>
      </w:r>
      <w:r w:rsidR="00A82ADD" w:rsidRPr="00EE42A7">
        <w:t xml:space="preserve"> </w:t>
      </w:r>
      <w:r w:rsidRPr="00EE42A7">
        <w:t>to a grant contract are permissib</w:t>
      </w:r>
      <w:r w:rsidR="000E31F9" w:rsidRPr="00EE42A7">
        <w:t>le in principle, however NT</w:t>
      </w:r>
      <w:r w:rsidRPr="00EE42A7">
        <w:t>CS practice is to avoid them in order to maintain a clear</w:t>
      </w:r>
      <w:r>
        <w:t xml:space="preserve"> relationship </w:t>
      </w:r>
      <w:r>
        <w:lastRenderedPageBreak/>
        <w:t>between</w:t>
      </w:r>
      <w:r w:rsidR="00E5556B">
        <w:t xml:space="preserve"> a project, an application, the comprehensive and staged consideration process, and clearly defined times </w:t>
      </w:r>
      <w:r w:rsidR="00F42ADC">
        <w:t xml:space="preserve">and parameter </w:t>
      </w:r>
      <w:r w:rsidR="00E5556B">
        <w:t>within which services are expected to be delivered.</w:t>
      </w:r>
      <w:r w:rsidR="00352536">
        <w:rPr>
          <w:rStyle w:val="FootnoteReference"/>
        </w:rPr>
        <w:footnoteReference w:id="12"/>
      </w:r>
      <w:r w:rsidR="00E5556B">
        <w:t xml:space="preserve">  </w:t>
      </w:r>
      <w:r w:rsidR="00352536">
        <w:t xml:space="preserve">    </w:t>
      </w:r>
    </w:p>
    <w:p w:rsidR="00352536" w:rsidRDefault="00352536" w:rsidP="00352536">
      <w:r>
        <w:t xml:space="preserve">Variations can also pose problems for ongoing performance evaluation, bearing in mind that services under the initial contract may differ from requirements and objectives to be achieved under an extension.  Thus, where additional services are required, the preferable solution is to offer an ESP a fresh contract, with new and separately defined deliverables and attendant funding commitments.  </w:t>
      </w:r>
    </w:p>
    <w:p w:rsidR="00A82ADD" w:rsidRPr="00EE42A7" w:rsidRDefault="00272521" w:rsidP="00A82ADD">
      <w:r>
        <w:t>As a word of caution</w:t>
      </w:r>
      <w:r w:rsidRPr="00EE42A7">
        <w:t xml:space="preserve">, </w:t>
      </w:r>
      <w:r w:rsidR="000E31F9" w:rsidRPr="00EE42A7">
        <w:t>NT</w:t>
      </w:r>
      <w:r w:rsidR="005E70A2" w:rsidRPr="00EE42A7">
        <w:t>CS</w:t>
      </w:r>
      <w:r w:rsidR="00A82ADD" w:rsidRPr="00EE42A7">
        <w:t xml:space="preserve"> officials should be careful not to make statements (orally, via email o</w:t>
      </w:r>
      <w:r w:rsidR="005E70A2" w:rsidRPr="00EE42A7">
        <w:t>r formal correspondence) to an ESP</w:t>
      </w:r>
      <w:r w:rsidR="00A82ADD" w:rsidRPr="00EE42A7">
        <w:t xml:space="preserve"> that are inconsistent with the agency’s rights in the Funding Contract</w:t>
      </w:r>
      <w:r w:rsidR="005E70A2" w:rsidRPr="00EE42A7">
        <w:t>.  Doing so m</w:t>
      </w:r>
      <w:r w:rsidR="00A82ADD" w:rsidRPr="00EE42A7">
        <w:t xml:space="preserve">ay </w:t>
      </w:r>
      <w:r w:rsidR="005E70A2" w:rsidRPr="00EE42A7">
        <w:t xml:space="preserve">inadvertently </w:t>
      </w:r>
      <w:r w:rsidR="00A82ADD" w:rsidRPr="00EE42A7">
        <w:t xml:space="preserve">vary </w:t>
      </w:r>
      <w:r w:rsidR="005E70A2" w:rsidRPr="00EE42A7">
        <w:t xml:space="preserve">a Funding Contract, </w:t>
      </w:r>
      <w:r w:rsidR="00A82ADD" w:rsidRPr="00EE42A7">
        <w:t xml:space="preserve">estop (prevent) </w:t>
      </w:r>
      <w:r w:rsidR="005E70A2" w:rsidRPr="00EE42A7">
        <w:t xml:space="preserve">the </w:t>
      </w:r>
      <w:r w:rsidR="00A82ADD" w:rsidRPr="00EE42A7">
        <w:t xml:space="preserve">NTG relying on </w:t>
      </w:r>
      <w:r w:rsidR="005E70A2" w:rsidRPr="00EE42A7">
        <w:t>its</w:t>
      </w:r>
      <w:r w:rsidR="00A82ADD" w:rsidRPr="00EE42A7">
        <w:t xml:space="preserve"> terms, or constitute a waiver of legal rights.  </w:t>
      </w:r>
    </w:p>
    <w:p w:rsidR="00B6581B" w:rsidRPr="00EE42A7" w:rsidRDefault="00B6581B" w:rsidP="00FB0F85">
      <w:pPr>
        <w:pStyle w:val="Heading2"/>
      </w:pPr>
      <w:bookmarkStart w:id="39" w:name="_Toc373104441"/>
      <w:r w:rsidRPr="00EE42A7">
        <w:t>Payments</w:t>
      </w:r>
      <w:bookmarkEnd w:id="39"/>
    </w:p>
    <w:p w:rsidR="00346E57" w:rsidRPr="00EE42A7" w:rsidRDefault="00346E57" w:rsidP="00496427">
      <w:pPr>
        <w:pStyle w:val="BoxedText"/>
      </w:pPr>
      <w:r w:rsidRPr="00EE42A7">
        <w:t>Payments should never be issued to an ESP prior to the execution of a Funding Contract,</w:t>
      </w:r>
      <w:r w:rsidR="00496427" w:rsidRPr="00EE42A7">
        <w:t xml:space="preserve"> or </w:t>
      </w:r>
      <w:r w:rsidR="000B112E" w:rsidRPr="00EE42A7">
        <w:t xml:space="preserve">when an </w:t>
      </w:r>
      <w:r w:rsidRPr="00EE42A7">
        <w:t xml:space="preserve">ESP is </w:t>
      </w:r>
      <w:r w:rsidR="000B112E" w:rsidRPr="00EE42A7">
        <w:t xml:space="preserve">non-compliant with its milestone acquittal tasks.  </w:t>
      </w:r>
      <w:r w:rsidR="004445C2" w:rsidRPr="00EE42A7">
        <w:t xml:space="preserve">Recurrent payments should be made in instalments and non-recurrent or asset payments </w:t>
      </w:r>
      <w:r w:rsidR="00415340" w:rsidRPr="00EE42A7">
        <w:t>via</w:t>
      </w:r>
      <w:r w:rsidR="004445C2" w:rsidRPr="00EE42A7">
        <w:t xml:space="preserve"> a request for release </w:t>
      </w:r>
      <w:r w:rsidR="00415340" w:rsidRPr="00EE42A7">
        <w:t xml:space="preserve">at the time that </w:t>
      </w:r>
      <w:r w:rsidR="004445C2" w:rsidRPr="00EE42A7">
        <w:t xml:space="preserve">they are required. </w:t>
      </w:r>
    </w:p>
    <w:p w:rsidR="00415340" w:rsidRPr="00EE42A7" w:rsidRDefault="000E31F9" w:rsidP="00393ED3">
      <w:r w:rsidRPr="00EE42A7">
        <w:t>NT</w:t>
      </w:r>
      <w:r w:rsidR="00415340" w:rsidRPr="00EE42A7">
        <w:t>CS can be exposed to significant liability if payments are made to an ESP that is uncontracted at the time of service delivery, or non-compliant with its deliverables once contracted.  As such, it is incumbent on operational staff to monitor ESP compliance with milestone acqu</w:t>
      </w:r>
      <w:r w:rsidRPr="00EE42A7">
        <w:t>ittal tasks, and ensure that NT</w:t>
      </w:r>
      <w:r w:rsidR="00415340" w:rsidRPr="00EE42A7">
        <w:t xml:space="preserve">CS </w:t>
      </w:r>
      <w:r w:rsidR="003D759C" w:rsidRPr="00EE42A7">
        <w:t>administrative</w:t>
      </w:r>
      <w:r w:rsidR="00415340" w:rsidRPr="00EE42A7">
        <w:t xml:space="preserve"> staff responsible for disbursing payments are informed when an ESP is non-compliant.  </w:t>
      </w:r>
    </w:p>
    <w:p w:rsidR="00CB15A4" w:rsidRPr="00EE42A7" w:rsidRDefault="00CB15A4" w:rsidP="00CB15A4">
      <w:pPr>
        <w:pStyle w:val="Heading3"/>
      </w:pPr>
      <w:bookmarkStart w:id="40" w:name="_Toc373104442"/>
      <w:r w:rsidRPr="00EE42A7">
        <w:t>Recurrent Funding</w:t>
      </w:r>
      <w:bookmarkEnd w:id="40"/>
    </w:p>
    <w:p w:rsidR="00415340" w:rsidRPr="00EE42A7" w:rsidRDefault="00415340" w:rsidP="00CB15A4">
      <w:r w:rsidRPr="00EE42A7">
        <w:t xml:space="preserve">Provided an ESP remains compliant with its milestone </w:t>
      </w:r>
      <w:r w:rsidR="00030FFB" w:rsidRPr="00EE42A7">
        <w:t>acquittal tasks, recurrent payments should be made in regular instalments from the start date of the Funding Contract.  The capacity of NTCS to influence service delivery diminishes</w:t>
      </w:r>
      <w:r w:rsidR="00030FFB">
        <w:t xml:space="preserve"> when a grant is substantially or fully disbursed up-front.  </w:t>
      </w:r>
      <w:r w:rsidR="00F80DC5">
        <w:t xml:space="preserve">It is therefore most prudent to issue payments in instalments, </w:t>
      </w:r>
      <w:r w:rsidR="004C2522">
        <w:t xml:space="preserve">and </w:t>
      </w:r>
      <w:r w:rsidR="00F80DC5">
        <w:t xml:space="preserve">on a frequency which allow an ESP sufficient start-up funding and regular income thereafter, but also prevents an unnecessarily onerous burden on </w:t>
      </w:r>
      <w:r w:rsidR="00F80DC5" w:rsidRPr="00EE42A7">
        <w:t>N</w:t>
      </w:r>
      <w:r w:rsidR="000E31F9" w:rsidRPr="00EE42A7">
        <w:t>T</w:t>
      </w:r>
      <w:r w:rsidR="00CB2B47" w:rsidRPr="00EE42A7">
        <w:t xml:space="preserve">CS administrative resources.  Payment in instalments also minimises the risk of fraud and agency exposure, and maintains a nexus between </w:t>
      </w:r>
      <w:r w:rsidR="004C2522" w:rsidRPr="00EE42A7">
        <w:t xml:space="preserve">recurrent </w:t>
      </w:r>
      <w:r w:rsidR="00CB2B47" w:rsidRPr="00EE42A7">
        <w:t>payment</w:t>
      </w:r>
      <w:r w:rsidR="004C2522" w:rsidRPr="00EE42A7">
        <w:t>s</w:t>
      </w:r>
      <w:r w:rsidR="00CB2B47" w:rsidRPr="00EE42A7">
        <w:t xml:space="preserve">, compliance, and delivery of services.  </w:t>
      </w:r>
    </w:p>
    <w:p w:rsidR="00CB15A4" w:rsidRPr="00EE42A7" w:rsidRDefault="00CB15A4" w:rsidP="00CB15A4">
      <w:pPr>
        <w:pStyle w:val="Heading3"/>
      </w:pPr>
      <w:bookmarkStart w:id="41" w:name="_Toc373104443"/>
      <w:r w:rsidRPr="00EE42A7">
        <w:t>Non-recurrent and Asset Funding</w:t>
      </w:r>
      <w:bookmarkEnd w:id="41"/>
    </w:p>
    <w:p w:rsidR="004C2522" w:rsidRDefault="004C2522" w:rsidP="004C2522">
      <w:r w:rsidRPr="00EE42A7">
        <w:t xml:space="preserve">Non-recurrent and asset funding should be treated differently to recurrent funding, being that it is usually used for specific (non-operational) purposes.  Whilst the </w:t>
      </w:r>
      <w:r w:rsidR="00ED65C9" w:rsidRPr="00EE42A7">
        <w:t xml:space="preserve">commitment to funding </w:t>
      </w:r>
      <w:r w:rsidRPr="00EE42A7">
        <w:t xml:space="preserve">is made at the execution of the Funding Contract, the actual time of </w:t>
      </w:r>
      <w:r w:rsidR="00A56525" w:rsidRPr="00EE42A7">
        <w:t>disbursement can be controlled by the agency.  A</w:t>
      </w:r>
      <w:r w:rsidRPr="00EE42A7">
        <w:t xml:space="preserve">n ESP </w:t>
      </w:r>
      <w:r w:rsidR="00A56525" w:rsidRPr="00EE42A7">
        <w:t xml:space="preserve">therefore </w:t>
      </w:r>
      <w:r w:rsidRPr="00EE42A7">
        <w:t>request</w:t>
      </w:r>
      <w:r w:rsidR="00A56525" w:rsidRPr="00EE42A7">
        <w:t>s</w:t>
      </w:r>
      <w:r w:rsidRPr="00EE42A7">
        <w:t xml:space="preserve"> release of </w:t>
      </w:r>
      <w:r w:rsidR="00ED65C9" w:rsidRPr="00EE42A7">
        <w:t>lin</w:t>
      </w:r>
      <w:r w:rsidR="00EA5FBF" w:rsidRPr="00EE42A7">
        <w:t>e items when required, allowing</w:t>
      </w:r>
      <w:r w:rsidR="00EE42A7" w:rsidRPr="00EE42A7">
        <w:t xml:space="preserve"> </w:t>
      </w:r>
      <w:r w:rsidR="000E31F9" w:rsidRPr="00EE42A7">
        <w:t>NT</w:t>
      </w:r>
      <w:r w:rsidR="00C92B03" w:rsidRPr="00EE42A7">
        <w:t>CS</w:t>
      </w:r>
      <w:r w:rsidR="00ED65C9" w:rsidRPr="00EE42A7">
        <w:t xml:space="preserve"> to determine when </w:t>
      </w:r>
      <w:r w:rsidR="00A56525" w:rsidRPr="00EE42A7">
        <w:t>actual issuance of a payment is warranted – a further process which minimises agency risk.</w:t>
      </w:r>
      <w:r w:rsidR="00A56525">
        <w:t xml:space="preserve">   </w:t>
      </w:r>
    </w:p>
    <w:p w:rsidR="00B6581B" w:rsidRPr="00393ED3" w:rsidRDefault="00B6581B" w:rsidP="00CB15A4">
      <w:pPr>
        <w:pStyle w:val="Heading3"/>
      </w:pPr>
      <w:bookmarkStart w:id="42" w:name="_Toc373104444"/>
      <w:r w:rsidRPr="00393ED3">
        <w:lastRenderedPageBreak/>
        <w:t>Withholding Payments</w:t>
      </w:r>
      <w:bookmarkEnd w:id="42"/>
    </w:p>
    <w:p w:rsidR="000277F2" w:rsidRDefault="000A4212" w:rsidP="00393ED3">
      <w:r>
        <w:t>Where an ESP b</w:t>
      </w:r>
      <w:r w:rsidR="00E352B7" w:rsidRPr="00393ED3">
        <w:t>reach</w:t>
      </w:r>
      <w:r>
        <w:t>es</w:t>
      </w:r>
      <w:r w:rsidR="00E352B7" w:rsidRPr="00393ED3">
        <w:t xml:space="preserve"> </w:t>
      </w:r>
      <w:r>
        <w:t xml:space="preserve">the terms and </w:t>
      </w:r>
      <w:r w:rsidR="00E352B7" w:rsidRPr="00393ED3">
        <w:t>conditions</w:t>
      </w:r>
      <w:r>
        <w:t xml:space="preserve"> of its Funding Contract, the p</w:t>
      </w:r>
      <w:r w:rsidR="00E352B7" w:rsidRPr="00393ED3">
        <w:t>rincip</w:t>
      </w:r>
      <w:r>
        <w:t>al</w:t>
      </w:r>
      <w:r w:rsidR="00E352B7" w:rsidRPr="00393ED3">
        <w:t xml:space="preserve"> remedial action is to withhold future </w:t>
      </w:r>
      <w:r>
        <w:t xml:space="preserve">recurrent </w:t>
      </w:r>
      <w:r w:rsidR="00E352B7" w:rsidRPr="00393ED3">
        <w:t>payments</w:t>
      </w:r>
      <w:r>
        <w:t xml:space="preserve"> and release of non-recurrent and asset funding.  Most commonly, this will occur when an ESP is non-compliant with its milestone acquittal tasks.  </w:t>
      </w:r>
      <w:r w:rsidR="00641647">
        <w:t>Since withholding payments is essentially an undesirable outcome for both parties, requiring d</w:t>
      </w:r>
      <w:r w:rsidR="00F355A6">
        <w:t xml:space="preserve">efensive </w:t>
      </w:r>
      <w:r w:rsidR="00F355A6" w:rsidRPr="00FD26AC">
        <w:t>administration, NT</w:t>
      </w:r>
      <w:r w:rsidR="00641647" w:rsidRPr="00FD26AC">
        <w:t xml:space="preserve">CS </w:t>
      </w:r>
      <w:r w:rsidR="000277F2" w:rsidRPr="00FD26AC">
        <w:t xml:space="preserve">should endeavour to </w:t>
      </w:r>
      <w:r w:rsidR="00D06631" w:rsidRPr="00FD26AC">
        <w:t>positively</w:t>
      </w:r>
      <w:r w:rsidR="000277F2" w:rsidRPr="00FD26AC">
        <w:t xml:space="preserve"> monitor ESPs, and assist them to fulfil their obligations vis-à-vis</w:t>
      </w:r>
      <w:r w:rsidR="000277F2">
        <w:t xml:space="preserve"> acquittals in particular.  </w:t>
      </w:r>
    </w:p>
    <w:p w:rsidR="000A4212" w:rsidRDefault="000277F2" w:rsidP="00393ED3">
      <w:r>
        <w:t xml:space="preserve">Once an ESP becomes compliant again, any withheld funds should be released.  Payments should not be punitively withheld once compliance is re-established, nor on the basis that previous payments have not been fully expended; recovery of surplus funding is dealt with at the time of contract completion.  </w:t>
      </w:r>
      <w:r w:rsidR="00D06631">
        <w:t xml:space="preserve">Gross and repeated non-compliance, or breach of contract is however a separate matter – this may give rise to </w:t>
      </w:r>
      <w:r w:rsidR="00B52769">
        <w:t xml:space="preserve">invoking </w:t>
      </w:r>
      <w:r w:rsidR="00D06631">
        <w:t xml:space="preserve">contract termination rather than simply </w:t>
      </w:r>
      <w:r w:rsidR="004E6E04">
        <w:t>temporary wit</w:t>
      </w:r>
      <w:r w:rsidR="00B3214E">
        <w:t>hholding of payments</w:t>
      </w:r>
      <w:r w:rsidR="00D06631">
        <w:t>.</w:t>
      </w:r>
    </w:p>
    <w:p w:rsidR="004B01CB" w:rsidRDefault="004B01CB" w:rsidP="002458F7">
      <w:pPr>
        <w:pStyle w:val="Heading2"/>
      </w:pPr>
      <w:bookmarkStart w:id="43" w:name="_Toc373104445"/>
      <w:r>
        <w:t>Monitoring</w:t>
      </w:r>
      <w:bookmarkEnd w:id="43"/>
      <w:r>
        <w:t xml:space="preserve"> </w:t>
      </w:r>
    </w:p>
    <w:p w:rsidR="00004BB8" w:rsidRDefault="008E5256" w:rsidP="00004BB8">
      <w:pPr>
        <w:pStyle w:val="BoxedText"/>
      </w:pPr>
      <w:r>
        <w:t>Monitoring must occur</w:t>
      </w:r>
      <w:r w:rsidR="00453BFB">
        <w:t xml:space="preserve"> </w:t>
      </w:r>
      <w:r w:rsidR="00004BB8">
        <w:t>over</w:t>
      </w:r>
      <w:r w:rsidR="00453BFB">
        <w:t xml:space="preserve"> the </w:t>
      </w:r>
      <w:r w:rsidR="00004BB8">
        <w:t xml:space="preserve">entire </w:t>
      </w:r>
      <w:r w:rsidR="00453BFB">
        <w:t xml:space="preserve">duration of a Funding Contract, to ensure the </w:t>
      </w:r>
      <w:r w:rsidR="00004BB8">
        <w:t>ESP</w:t>
      </w:r>
      <w:r w:rsidR="00453BFB">
        <w:t xml:space="preserve"> is satisfactorily acquitting their milestones and delivering services, events and/or activities in accordance with the terms of their </w:t>
      </w:r>
      <w:r>
        <w:t>engagement</w:t>
      </w:r>
      <w:r w:rsidR="00453BFB">
        <w:t xml:space="preserve">.  </w:t>
      </w:r>
    </w:p>
    <w:p w:rsidR="00965D4C" w:rsidRDefault="008E5256" w:rsidP="00453BFB">
      <w:r>
        <w:t xml:space="preserve">An ongoing monitoring regime is integral to the success of a grant project.  Responsibility for monitoring individual Funding Contracts should reside with operational staff with subject matter expertise, rather than general administrative staff.  In this way, monitoring schemes </w:t>
      </w:r>
      <w:r w:rsidR="00282619">
        <w:t>are more likely to</w:t>
      </w:r>
      <w:r>
        <w:t xml:space="preserve"> be positive and purposeful rather than a bureaucratic burden for either the agency or recipient.  </w:t>
      </w:r>
    </w:p>
    <w:p w:rsidR="002458F7" w:rsidRDefault="002458F7" w:rsidP="00A82ADD">
      <w:pPr>
        <w:pStyle w:val="Heading3"/>
      </w:pPr>
      <w:bookmarkStart w:id="44" w:name="_Toc373104446"/>
      <w:r>
        <w:t>Milestone</w:t>
      </w:r>
      <w:r w:rsidR="00A324F4">
        <w:t xml:space="preserve"> Acquittal Tasks</w:t>
      </w:r>
      <w:bookmarkEnd w:id="44"/>
    </w:p>
    <w:p w:rsidR="005243DE" w:rsidRPr="00FD26AC" w:rsidRDefault="00F94530" w:rsidP="005243DE">
      <w:r>
        <w:t xml:space="preserve">Monitoring is given practical effect through the stipulation and acquittal of milestone tasks.   The type and frequency of these tasks is determined </w:t>
      </w:r>
      <w:r w:rsidR="005243DE">
        <w:t xml:space="preserve">proportional to the risks involved and policy outcomes being sought under the grant project.  Thus in deciding what tasks to attach to a Funding Contract, a balance should be achieved between the </w:t>
      </w:r>
      <w:r w:rsidR="00F74F6F">
        <w:t xml:space="preserve">amount of information </w:t>
      </w:r>
      <w:r w:rsidR="005243DE">
        <w:t>requested</w:t>
      </w:r>
      <w:r w:rsidR="000B4F4C">
        <w:t xml:space="preserve"> (for due diligence)</w:t>
      </w:r>
      <w:r w:rsidR="005243DE">
        <w:t xml:space="preserve">, </w:t>
      </w:r>
      <w:r w:rsidR="00F74F6F">
        <w:t xml:space="preserve">the associated costs to </w:t>
      </w:r>
      <w:r w:rsidR="005243DE">
        <w:t>an ESP</w:t>
      </w:r>
      <w:r w:rsidR="00F74F6F">
        <w:t xml:space="preserve"> of collecting and </w:t>
      </w:r>
      <w:r w:rsidR="005243DE">
        <w:t>reporting</w:t>
      </w:r>
      <w:r w:rsidR="00F74F6F">
        <w:t xml:space="preserve"> this information, </w:t>
      </w:r>
      <w:r w:rsidR="00116FEF">
        <w:t xml:space="preserve">and </w:t>
      </w:r>
      <w:r w:rsidR="005243DE">
        <w:t xml:space="preserve">the administrative cost to </w:t>
      </w:r>
      <w:r w:rsidR="00F355A6" w:rsidRPr="00FD26AC">
        <w:t>NT</w:t>
      </w:r>
      <w:r w:rsidR="00116FEF" w:rsidRPr="00FD26AC">
        <w:t>CS</w:t>
      </w:r>
      <w:r w:rsidR="005243DE" w:rsidRPr="00FD26AC">
        <w:t xml:space="preserve"> to </w:t>
      </w:r>
      <w:r w:rsidR="000B4F4C" w:rsidRPr="00FD26AC">
        <w:t>assess</w:t>
      </w:r>
      <w:r w:rsidR="005243DE" w:rsidRPr="00FD26AC">
        <w:t xml:space="preserve"> the material</w:t>
      </w:r>
      <w:r w:rsidR="000B4F4C" w:rsidRPr="00FD26AC">
        <w:t xml:space="preserve">.  </w:t>
      </w:r>
    </w:p>
    <w:p w:rsidR="000B4F4C" w:rsidRPr="00FD26AC" w:rsidRDefault="005243DE" w:rsidP="00A07966">
      <w:r w:rsidRPr="00FD26AC">
        <w:t xml:space="preserve">The base reporting and acquittal </w:t>
      </w:r>
      <w:r w:rsidR="00FC0D73" w:rsidRPr="00FD26AC">
        <w:t xml:space="preserve">requirements for a Funding Contract will be dictated by the </w:t>
      </w:r>
      <w:r w:rsidRPr="00FD26AC">
        <w:t xml:space="preserve">risk level associated with </w:t>
      </w:r>
      <w:r w:rsidR="00FC0D73" w:rsidRPr="00FD26AC">
        <w:t>the enterprise</w:t>
      </w:r>
      <w:r w:rsidR="00B10D9A" w:rsidRPr="00FD26AC">
        <w:t>.  These</w:t>
      </w:r>
      <w:r w:rsidR="00FC0D73" w:rsidRPr="00FD26AC">
        <w:t xml:space="preserve"> tasks will general</w:t>
      </w:r>
      <w:r w:rsidR="00F355A6" w:rsidRPr="00FD26AC">
        <w:t>ly include meetings with NT</w:t>
      </w:r>
      <w:r w:rsidR="00FC0D73" w:rsidRPr="00FD26AC">
        <w:t>CS, and submission of financial acquittal statements and performance reports</w:t>
      </w:r>
      <w:r w:rsidR="00B10D9A" w:rsidRPr="00FD26AC">
        <w:t xml:space="preserve"> containing data </w:t>
      </w:r>
      <w:r w:rsidR="000B4F4C" w:rsidRPr="00FD26AC">
        <w:t>to be</w:t>
      </w:r>
      <w:r w:rsidR="00B10D9A" w:rsidRPr="00FD26AC">
        <w:t xml:space="preserve"> used as part of the continuous process of evaluation.  </w:t>
      </w:r>
      <w:r w:rsidR="00FC0D73" w:rsidRPr="00FD26AC">
        <w:t>Additionally however, a</w:t>
      </w:r>
      <w:r w:rsidR="00490A49" w:rsidRPr="00FD26AC">
        <w:t xml:space="preserve">gency staff should determine the type and frequency of </w:t>
      </w:r>
      <w:r w:rsidR="00FC0D73" w:rsidRPr="00FD26AC">
        <w:t xml:space="preserve">extra milestone reporting requirements that are relevant to the particulars of the grant activity.  </w:t>
      </w:r>
      <w:r w:rsidR="00480AD5" w:rsidRPr="00FD26AC">
        <w:t>These may non-</w:t>
      </w:r>
      <w:r w:rsidR="00FC0D73" w:rsidRPr="00FD26AC">
        <w:t xml:space="preserve">exhaustively include submission of </w:t>
      </w:r>
      <w:r w:rsidR="00A07966" w:rsidRPr="00FD26AC">
        <w:t xml:space="preserve">audited financial statements, accreditation certificates, photographic evidence, risk management plans, post-implementation completion reports, and other documentary evidence.  </w:t>
      </w:r>
    </w:p>
    <w:p w:rsidR="00A07966" w:rsidRDefault="00345E90" w:rsidP="00A07966">
      <w:r w:rsidRPr="00FD26AC">
        <w:t>In all cases, full records should be maintained of materials submitted by a</w:t>
      </w:r>
      <w:r w:rsidR="00F355A6" w:rsidRPr="00FD26AC">
        <w:t>n ESP, and the corresponding NT</w:t>
      </w:r>
      <w:r w:rsidRPr="00FD26AC">
        <w:t>CS adjudication of whether the information supplied has been sufficient to acquit the milestone.  File notes and minutes of meetings</w:t>
      </w:r>
      <w:r>
        <w:t xml:space="preserve"> between the parties should likewise be stored </w:t>
      </w:r>
      <w:r w:rsidR="003242CE">
        <w:t xml:space="preserve">for reference </w:t>
      </w:r>
      <w:r w:rsidR="000B4F4C">
        <w:t>alongside</w:t>
      </w:r>
      <w:r>
        <w:t xml:space="preserve"> these documents.  </w:t>
      </w:r>
    </w:p>
    <w:p w:rsidR="00B6581B" w:rsidRDefault="00B6581B" w:rsidP="00CB15A4">
      <w:pPr>
        <w:pStyle w:val="Heading3"/>
      </w:pPr>
      <w:bookmarkStart w:id="45" w:name="_Toc373104447"/>
      <w:r>
        <w:lastRenderedPageBreak/>
        <w:t>Financial Acquittal</w:t>
      </w:r>
      <w:bookmarkEnd w:id="45"/>
    </w:p>
    <w:p w:rsidR="001A5639" w:rsidRPr="00FD26AC" w:rsidRDefault="005F1E48" w:rsidP="001A5639">
      <w:r w:rsidRPr="002E5EC3">
        <w:t xml:space="preserve">Financial </w:t>
      </w:r>
      <w:r w:rsidR="00634F2C" w:rsidRPr="002E5EC3">
        <w:t>A</w:t>
      </w:r>
      <w:r w:rsidRPr="002E5EC3">
        <w:t xml:space="preserve">cquittal </w:t>
      </w:r>
      <w:r w:rsidR="00634F2C" w:rsidRPr="002E5EC3">
        <w:t>St</w:t>
      </w:r>
      <w:r w:rsidRPr="002E5EC3">
        <w:t xml:space="preserve">atements </w:t>
      </w:r>
      <w:r w:rsidR="00634F2C" w:rsidRPr="002E5EC3">
        <w:t xml:space="preserve">(FAS) </w:t>
      </w:r>
      <w:r w:rsidRPr="002E5EC3">
        <w:t xml:space="preserve">must be provided by an ESP on a </w:t>
      </w:r>
      <w:r w:rsidR="00EB750B" w:rsidRPr="002E5EC3">
        <w:t xml:space="preserve">reasonable frequency corresponding </w:t>
      </w:r>
      <w:r w:rsidRPr="002E5EC3">
        <w:t xml:space="preserve">with the risk associated with the grant activity and </w:t>
      </w:r>
      <w:r w:rsidR="005B4004" w:rsidRPr="002E5EC3">
        <w:t xml:space="preserve">its </w:t>
      </w:r>
      <w:r w:rsidR="001B33B2" w:rsidRPr="002E5EC3">
        <w:t xml:space="preserve">payment </w:t>
      </w:r>
      <w:r w:rsidR="00EB750B" w:rsidRPr="002E5EC3">
        <w:t>schedule</w:t>
      </w:r>
      <w:r w:rsidR="002E5EC3" w:rsidRPr="002E5EC3">
        <w:t>.</w:t>
      </w:r>
      <w:r w:rsidR="00F355A6" w:rsidRPr="002E5EC3">
        <w:t xml:space="preserve"> </w:t>
      </w:r>
      <w:r w:rsidR="00F355A6" w:rsidRPr="00FD26AC">
        <w:t>NT</w:t>
      </w:r>
      <w:r w:rsidR="00634F2C" w:rsidRPr="00FD26AC">
        <w:t xml:space="preserve">CS </w:t>
      </w:r>
      <w:r w:rsidR="001B33B2" w:rsidRPr="00FD26AC">
        <w:t>employs</w:t>
      </w:r>
      <w:r w:rsidR="00634F2C" w:rsidRPr="00FD26AC">
        <w:t xml:space="preserve"> </w:t>
      </w:r>
      <w:r w:rsidR="001B33B2" w:rsidRPr="00FD26AC">
        <w:t xml:space="preserve">a </w:t>
      </w:r>
      <w:r w:rsidR="003F7DBE" w:rsidRPr="00FD26AC">
        <w:t>common</w:t>
      </w:r>
      <w:r w:rsidR="00634F2C" w:rsidRPr="00FD26AC">
        <w:t xml:space="preserve"> </w:t>
      </w:r>
      <w:r w:rsidR="001B33B2" w:rsidRPr="00FD26AC">
        <w:t>FAS</w:t>
      </w:r>
      <w:r w:rsidR="001A5639" w:rsidRPr="00FD26AC">
        <w:t xml:space="preserve"> form</w:t>
      </w:r>
      <w:r w:rsidR="0046135B" w:rsidRPr="00FD26AC">
        <w:t xml:space="preserve">, </w:t>
      </w:r>
      <w:r w:rsidR="001A5639" w:rsidRPr="00FD26AC">
        <w:t>based on the SCOA accounting methodology, to ensure it receives consistent, comparable, and standardised financial data</w:t>
      </w:r>
      <w:r w:rsidR="003F7DBE" w:rsidRPr="00FD26AC">
        <w:t xml:space="preserve">.  This </w:t>
      </w:r>
      <w:r w:rsidR="001A5639" w:rsidRPr="00FD26AC">
        <w:t xml:space="preserve">form </w:t>
      </w:r>
      <w:r w:rsidR="00D82359" w:rsidRPr="00FD26AC">
        <w:t xml:space="preserve">aims </w:t>
      </w:r>
      <w:r w:rsidR="001A5639" w:rsidRPr="00FD26AC">
        <w:t xml:space="preserve">to assist ESPs by providing them with a consistent template for financial reporting, aligned to the level at which they </w:t>
      </w:r>
      <w:r w:rsidR="00D82359" w:rsidRPr="00FD26AC">
        <w:t xml:space="preserve">both </w:t>
      </w:r>
      <w:r w:rsidR="001A5639" w:rsidRPr="00FD26AC">
        <w:t xml:space="preserve">requested and received funding.  </w:t>
      </w:r>
    </w:p>
    <w:p w:rsidR="008D5B91" w:rsidRPr="00FD26AC" w:rsidRDefault="00320570" w:rsidP="004B01CB">
      <w:r w:rsidRPr="00FD26AC">
        <w:t>NT</w:t>
      </w:r>
      <w:r w:rsidR="00F30067" w:rsidRPr="00FD26AC">
        <w:t xml:space="preserve">CS </w:t>
      </w:r>
      <w:r w:rsidR="008D5B91" w:rsidRPr="00FD26AC">
        <w:t xml:space="preserve">must ensure that its monitoring staff are sufficiently skilled to </w:t>
      </w:r>
      <w:r w:rsidR="003F7DBE" w:rsidRPr="00FD26AC">
        <w:t xml:space="preserve">understand and </w:t>
      </w:r>
      <w:r w:rsidR="001D5A19" w:rsidRPr="00FD26AC">
        <w:t>review a</w:t>
      </w:r>
      <w:r w:rsidR="008D5B91" w:rsidRPr="00FD26AC">
        <w:t xml:space="preserve"> FAS </w:t>
      </w:r>
      <w:r w:rsidR="003F7DBE" w:rsidRPr="00FD26AC">
        <w:t xml:space="preserve">in a timely and proper manner.  </w:t>
      </w:r>
      <w:r w:rsidR="008D5B91" w:rsidRPr="00FD26AC">
        <w:t xml:space="preserve">This does not represent an unrealistic demand, given the wide range of resource material available on using and understanding information in the SCOA format.  </w:t>
      </w:r>
      <w:r w:rsidR="00822FE8" w:rsidRPr="00FD26AC">
        <w:t>Moreover, t</w:t>
      </w:r>
      <w:r w:rsidR="003F7DBE" w:rsidRPr="00FD26AC">
        <w:t xml:space="preserve">he obligation of </w:t>
      </w:r>
      <w:r w:rsidR="00822FE8" w:rsidRPr="00FD26AC">
        <w:t xml:space="preserve">the </w:t>
      </w:r>
      <w:r w:rsidR="003F7DBE" w:rsidRPr="00FD26AC">
        <w:t>agency is to p</w:t>
      </w:r>
      <w:r w:rsidR="008D5B91" w:rsidRPr="00FD26AC">
        <w:t xml:space="preserve">erform due diligence, </w:t>
      </w:r>
      <w:r w:rsidR="003F7DBE" w:rsidRPr="00FD26AC">
        <w:t xml:space="preserve">not audit accounts, and </w:t>
      </w:r>
      <w:r w:rsidR="008D5B91" w:rsidRPr="00FD26AC">
        <w:t>the onus ultimately resides with an ESP to faithfully supply true and accurate info</w:t>
      </w:r>
      <w:r w:rsidR="00B9443B" w:rsidRPr="00FD26AC">
        <w:t xml:space="preserve">rmation.  </w:t>
      </w:r>
    </w:p>
    <w:p w:rsidR="00513C55" w:rsidRDefault="003E3AE6" w:rsidP="00511153">
      <w:r w:rsidRPr="00FD26AC">
        <w:t xml:space="preserve">Audited financial statements </w:t>
      </w:r>
      <w:r w:rsidR="00511153" w:rsidRPr="00FD26AC">
        <w:t xml:space="preserve">(AFS) </w:t>
      </w:r>
      <w:r w:rsidRPr="00FD26AC">
        <w:t xml:space="preserve">certified by </w:t>
      </w:r>
      <w:r w:rsidR="00511153" w:rsidRPr="00FD26AC">
        <w:t xml:space="preserve">a </w:t>
      </w:r>
      <w:r w:rsidRPr="00FD26AC">
        <w:t>qualified accountant</w:t>
      </w:r>
      <w:r w:rsidR="00B9443B" w:rsidRPr="00FD26AC">
        <w:rPr>
          <w:rStyle w:val="FootnoteReference"/>
        </w:rPr>
        <w:footnoteReference w:id="13"/>
      </w:r>
      <w:r w:rsidRPr="00FD26AC">
        <w:t xml:space="preserve"> who is not an officer, employee or member of the ESP</w:t>
      </w:r>
      <w:r w:rsidR="00511153" w:rsidRPr="00FD26AC">
        <w:t xml:space="preserve"> can be expensive and burdensome to </w:t>
      </w:r>
      <w:r w:rsidR="00CE4E94" w:rsidRPr="00FD26AC">
        <w:t>produce</w:t>
      </w:r>
      <w:r w:rsidR="00511153" w:rsidRPr="00FD26AC">
        <w:t>.  Hence, when deter</w:t>
      </w:r>
      <w:r w:rsidR="00320570" w:rsidRPr="00FD26AC">
        <w:t>mining extra milestones, NT</w:t>
      </w:r>
      <w:r w:rsidR="00511153" w:rsidRPr="00FD26AC">
        <w:t xml:space="preserve">CS should consider whether an AFS is required </w:t>
      </w:r>
      <w:r w:rsidR="00583CFA" w:rsidRPr="00FD26AC">
        <w:t xml:space="preserve">based on </w:t>
      </w:r>
      <w:r w:rsidR="00511153" w:rsidRPr="00FD26AC">
        <w:t xml:space="preserve">the level of </w:t>
      </w:r>
      <w:r w:rsidR="00583CFA" w:rsidRPr="00FD26AC">
        <w:t>risk</w:t>
      </w:r>
      <w:r w:rsidR="00511153" w:rsidRPr="00FD26AC">
        <w:t xml:space="preserve"> involved in the particular</w:t>
      </w:r>
      <w:r w:rsidR="00511153">
        <w:t xml:space="preserve"> grant activity.  </w:t>
      </w:r>
      <w:r w:rsidR="00513C55">
        <w:t xml:space="preserve">They may be superfluous to needs </w:t>
      </w:r>
      <w:r w:rsidR="00822FE8">
        <w:t xml:space="preserve">when an ESP diligently submits its </w:t>
      </w:r>
      <w:r w:rsidR="00513C55">
        <w:t>FAS</w:t>
      </w:r>
      <w:r w:rsidR="00822FE8">
        <w:t>, and in some situations are not appropriate to be requested at all.</w:t>
      </w:r>
      <w:r w:rsidR="00B64B69">
        <w:rPr>
          <w:rStyle w:val="FootnoteReference"/>
        </w:rPr>
        <w:footnoteReference w:id="14"/>
      </w:r>
      <w:r w:rsidR="00822FE8">
        <w:t xml:space="preserve">  </w:t>
      </w:r>
    </w:p>
    <w:p w:rsidR="00B6581B" w:rsidRDefault="00B6581B" w:rsidP="00CB15A4">
      <w:pPr>
        <w:pStyle w:val="Heading3"/>
      </w:pPr>
      <w:bookmarkStart w:id="46" w:name="_Toc373104448"/>
      <w:r>
        <w:t>Performance Reporting</w:t>
      </w:r>
      <w:bookmarkEnd w:id="46"/>
    </w:p>
    <w:p w:rsidR="0009375C" w:rsidRPr="00FD26AC" w:rsidRDefault="0009375C" w:rsidP="00AA63CB">
      <w:r>
        <w:t xml:space="preserve">Performance reports must be submitted by an ESP on a similar basis to a FAS.  </w:t>
      </w:r>
      <w:r w:rsidR="001E7C07">
        <w:t xml:space="preserve">These reports provide useful information </w:t>
      </w:r>
      <w:r w:rsidR="00ED2CAE">
        <w:t>up</w:t>
      </w:r>
      <w:r w:rsidR="001E7C07">
        <w:t>on which to base future decisions for designing, c</w:t>
      </w:r>
      <w:r w:rsidR="001E1A37">
        <w:t>ontinuing or concluding grant</w:t>
      </w:r>
      <w:r w:rsidR="001E7C07">
        <w:t xml:space="preserve"> activities, and contribute to </w:t>
      </w:r>
      <w:r w:rsidR="00ED2CAE">
        <w:t xml:space="preserve">maintaining </w:t>
      </w:r>
      <w:r w:rsidR="001E7C07">
        <w:t xml:space="preserve">accountability </w:t>
      </w:r>
      <w:r w:rsidR="00ED2CAE">
        <w:t>for</w:t>
      </w:r>
      <w:r w:rsidR="001E7C07">
        <w:t xml:space="preserve"> the </w:t>
      </w:r>
      <w:r w:rsidR="001E1A37">
        <w:t>agency</w:t>
      </w:r>
      <w:r w:rsidR="00ED2CAE">
        <w:t>.</w:t>
      </w:r>
      <w:r w:rsidR="001E1A37">
        <w:t xml:space="preserve">  Critically however, </w:t>
      </w:r>
      <w:r w:rsidR="00222923">
        <w:t>these</w:t>
      </w:r>
      <w:r w:rsidR="001E1A37">
        <w:t xml:space="preserve"> reports must request</w:t>
      </w:r>
      <w:r>
        <w:t xml:space="preserve"> appropriately</w:t>
      </w:r>
      <w:r w:rsidR="00757C75">
        <w:t xml:space="preserve"> targeted information </w:t>
      </w:r>
      <w:r w:rsidR="001E1A37">
        <w:t xml:space="preserve">to </w:t>
      </w:r>
      <w:r>
        <w:t>a</w:t>
      </w:r>
      <w:r w:rsidR="001E1A37">
        <w:t>llow</w:t>
      </w:r>
      <w:r w:rsidR="00757C75">
        <w:t xml:space="preserve"> </w:t>
      </w:r>
      <w:r w:rsidR="00320570" w:rsidRPr="00FD26AC">
        <w:t>NT</w:t>
      </w:r>
      <w:r w:rsidRPr="00FD26AC">
        <w:t>CS to draw well-informed conclusions</w:t>
      </w:r>
      <w:r w:rsidR="001E1A37" w:rsidRPr="00FD26AC">
        <w:t>.  Submissions must capture:</w:t>
      </w:r>
    </w:p>
    <w:p w:rsidR="0079544B" w:rsidRPr="00FD26AC" w:rsidRDefault="0079544B" w:rsidP="0079544B">
      <w:pPr>
        <w:pStyle w:val="ListParagraph"/>
        <w:numPr>
          <w:ilvl w:val="0"/>
          <w:numId w:val="9"/>
        </w:numPr>
      </w:pPr>
      <w:r w:rsidRPr="00FD26AC">
        <w:rPr>
          <w:i/>
        </w:rPr>
        <w:t>Output</w:t>
      </w:r>
      <w:r w:rsidRPr="00FD26AC">
        <w:t xml:space="preserve"> data – to quantifiab</w:t>
      </w:r>
      <w:r w:rsidR="00476E7B" w:rsidRPr="00FD26AC">
        <w:t xml:space="preserve">ly reveal the extent to which an ESP </w:t>
      </w:r>
      <w:r w:rsidRPr="00FD26AC">
        <w:t>is achieving its operational targets to date; and</w:t>
      </w:r>
    </w:p>
    <w:p w:rsidR="0079544B" w:rsidRPr="00FD26AC" w:rsidRDefault="0079544B" w:rsidP="0079544B">
      <w:pPr>
        <w:pStyle w:val="ListParagraph"/>
        <w:numPr>
          <w:ilvl w:val="0"/>
          <w:numId w:val="9"/>
        </w:numPr>
      </w:pPr>
      <w:r w:rsidRPr="00FD26AC">
        <w:rPr>
          <w:i/>
        </w:rPr>
        <w:t>Outcomes</w:t>
      </w:r>
      <w:r w:rsidRPr="00FD26AC">
        <w:t xml:space="preserve"> data – to qualitatively reveal </w:t>
      </w:r>
      <w:r w:rsidR="00476E7B" w:rsidRPr="00FD26AC">
        <w:t>how well</w:t>
      </w:r>
      <w:r w:rsidRPr="00FD26AC">
        <w:t xml:space="preserve"> a</w:t>
      </w:r>
      <w:r w:rsidR="00476E7B" w:rsidRPr="00FD26AC">
        <w:t>n ESP</w:t>
      </w:r>
      <w:r w:rsidRPr="00FD26AC">
        <w:t xml:space="preserve"> is </w:t>
      </w:r>
      <w:r w:rsidR="00C97662" w:rsidRPr="00FD26AC">
        <w:t>achieving</w:t>
      </w:r>
      <w:r w:rsidRPr="00FD26AC">
        <w:t xml:space="preserve"> </w:t>
      </w:r>
      <w:r w:rsidR="00476E7B" w:rsidRPr="00FD26AC">
        <w:t xml:space="preserve">the </w:t>
      </w:r>
      <w:r w:rsidRPr="00FD26AC">
        <w:t xml:space="preserve">objectives of the </w:t>
      </w:r>
      <w:r w:rsidR="00476E7B" w:rsidRPr="00FD26AC">
        <w:t>grant project</w:t>
      </w:r>
      <w:r w:rsidRPr="00FD26AC">
        <w:t>.</w:t>
      </w:r>
    </w:p>
    <w:p w:rsidR="00243639" w:rsidRDefault="007D6BA7" w:rsidP="001B3B54">
      <w:r w:rsidRPr="00FD26AC">
        <w:t xml:space="preserve">To appraise performance reports, staff </w:t>
      </w:r>
      <w:r w:rsidR="00096F2F" w:rsidRPr="00FD26AC">
        <w:t>must</w:t>
      </w:r>
      <w:r w:rsidRPr="00FD26AC">
        <w:t xml:space="preserve"> consider results to date against the four equally-weighted, overarching cri</w:t>
      </w:r>
      <w:r w:rsidR="00320570" w:rsidRPr="00FD26AC">
        <w:t>teria for NT</w:t>
      </w:r>
      <w:r w:rsidRPr="00FD26AC">
        <w:t xml:space="preserve">CS grants: capacity to deliver, ability to meet project priorities, ability to meet community needs, and value for money. </w:t>
      </w:r>
      <w:r w:rsidR="0075457A" w:rsidRPr="00FD26AC">
        <w:t xml:space="preserve">Being mindful of whether the service is </w:t>
      </w:r>
      <w:r w:rsidR="006701D2" w:rsidRPr="00FD26AC">
        <w:t>providing ‘</w:t>
      </w:r>
      <w:r w:rsidRPr="00FD26AC">
        <w:t>added value’</w:t>
      </w:r>
      <w:r w:rsidR="006701D2" w:rsidRPr="00FD26AC">
        <w:t xml:space="preserve">, </w:t>
      </w:r>
      <w:r w:rsidR="00207255" w:rsidRPr="00FD26AC">
        <w:t>they</w:t>
      </w:r>
      <w:r w:rsidR="006701D2">
        <w:t xml:space="preserve"> should then </w:t>
      </w:r>
      <w:r>
        <w:t xml:space="preserve">apply the criteria by providing </w:t>
      </w:r>
      <w:r w:rsidRPr="007B5085">
        <w:t>a</w:t>
      </w:r>
      <w:r w:rsidR="00096F2F">
        <w:t xml:space="preserve"> new </w:t>
      </w:r>
      <w:r w:rsidRPr="007B5085">
        <w:t>s</w:t>
      </w:r>
      <w:r>
        <w:t xml:space="preserve">core and rationale against each, </w:t>
      </w:r>
      <w:r w:rsidRPr="007B5085">
        <w:t xml:space="preserve">based on the totality of </w:t>
      </w:r>
      <w:r>
        <w:t xml:space="preserve">the </w:t>
      </w:r>
      <w:r w:rsidR="006701D2">
        <w:t>report</w:t>
      </w:r>
      <w:r w:rsidRPr="007B5085">
        <w:t xml:space="preserve"> content</w:t>
      </w:r>
      <w:r w:rsidR="00096F2F">
        <w:t>s</w:t>
      </w:r>
      <w:r w:rsidRPr="007B5085">
        <w:t>.</w:t>
      </w:r>
      <w:r>
        <w:t xml:space="preserve">  </w:t>
      </w:r>
      <w:r w:rsidR="001B3B54">
        <w:t xml:space="preserve">Maintaining this methodology </w:t>
      </w:r>
      <w:r>
        <w:t xml:space="preserve">enables </w:t>
      </w:r>
      <w:r w:rsidR="00096F2F">
        <w:t xml:space="preserve">ongoing </w:t>
      </w:r>
      <w:r>
        <w:t xml:space="preserve">quantitative evaluation of performance over the life of a Funding Contract, </w:t>
      </w:r>
      <w:r w:rsidR="001B3B54">
        <w:t xml:space="preserve">and </w:t>
      </w:r>
      <w:r w:rsidR="00096F2F">
        <w:t>qualitative evaluation</w:t>
      </w:r>
      <w:r w:rsidR="00ED2CAE">
        <w:t xml:space="preserve"> a</w:t>
      </w:r>
      <w:r w:rsidR="00096F2F">
        <w:t>gainst predetermined standards – which cumulatively reveals</w:t>
      </w:r>
      <w:r w:rsidR="00ED2CAE">
        <w:t xml:space="preserve"> the degree to which the </w:t>
      </w:r>
      <w:r w:rsidR="00096F2F">
        <w:t>grant activity is achieving its intended aims.</w:t>
      </w:r>
      <w:r w:rsidR="00ED2CAE">
        <w:t xml:space="preserve"> </w:t>
      </w:r>
    </w:p>
    <w:p w:rsidR="00ED2CAE" w:rsidRDefault="00ED2CAE" w:rsidP="001B3B54">
      <w:r>
        <w:t xml:space="preserve"> </w:t>
      </w:r>
    </w:p>
    <w:p w:rsidR="00B6581B" w:rsidRDefault="00B6581B" w:rsidP="00FB0F85">
      <w:pPr>
        <w:pStyle w:val="Heading2"/>
      </w:pPr>
      <w:bookmarkStart w:id="47" w:name="_Toc373104449"/>
      <w:r>
        <w:lastRenderedPageBreak/>
        <w:t>Completion</w:t>
      </w:r>
      <w:bookmarkEnd w:id="47"/>
      <w:r>
        <w:t xml:space="preserve"> </w:t>
      </w:r>
    </w:p>
    <w:p w:rsidR="00DE18C0" w:rsidRDefault="00DE18C0" w:rsidP="00374988">
      <w:pPr>
        <w:pStyle w:val="BoxedText"/>
      </w:pPr>
      <w:r>
        <w:t xml:space="preserve">All Funding Contracts should undergo a process of completion upon expiry or termination, involving recovery of surplus funding, and final evaluation of performance.  </w:t>
      </w:r>
    </w:p>
    <w:p w:rsidR="000A0B9F" w:rsidRDefault="000A0B9F" w:rsidP="000A0B9F">
      <w:r>
        <w:t>An important but often neglected part of grant</w:t>
      </w:r>
      <w:r w:rsidR="00843342">
        <w:t>s</w:t>
      </w:r>
      <w:r>
        <w:t xml:space="preserve"> administration </w:t>
      </w:r>
      <w:r w:rsidR="00DE18C0">
        <w:t>is the completion process</w:t>
      </w:r>
      <w:r w:rsidR="00374988">
        <w:t xml:space="preserve">.  Because significant periods of time may have elapsed since the start of </w:t>
      </w:r>
      <w:r w:rsidR="00843342">
        <w:t>a</w:t>
      </w:r>
      <w:r w:rsidR="00374988">
        <w:t xml:space="preserve"> grant activity, it is easy to forget that the Funding Contract must be concluded and evaluated.  This process is however, crucial towards informing the design of subsequent grant projects, and ascertaining how the agency’s strategic intent can best be effected in the future.  </w:t>
      </w:r>
    </w:p>
    <w:p w:rsidR="00B6581B" w:rsidRDefault="00A82ADD" w:rsidP="00A82ADD">
      <w:pPr>
        <w:pStyle w:val="Heading3"/>
      </w:pPr>
      <w:bookmarkStart w:id="48" w:name="_Toc373104450"/>
      <w:r>
        <w:t xml:space="preserve">Contract </w:t>
      </w:r>
      <w:r w:rsidR="00B6581B">
        <w:t>Expiry</w:t>
      </w:r>
      <w:bookmarkEnd w:id="48"/>
    </w:p>
    <w:p w:rsidR="0047787A" w:rsidRPr="00FD26AC" w:rsidRDefault="0047787A" w:rsidP="0047787A">
      <w:r>
        <w:t>A Funding Contract may reach its natural conclusion when it expires for either time, complete delivery of ser</w:t>
      </w:r>
      <w:r w:rsidR="00995BC2">
        <w:t>vices,</w:t>
      </w:r>
      <w:r>
        <w:t xml:space="preserve"> or disbursement and acquittal of all funding.  </w:t>
      </w:r>
      <w:r w:rsidR="00995BC2">
        <w:t>When any o</w:t>
      </w:r>
      <w:r w:rsidR="00320570">
        <w:t xml:space="preserve">f these scenarios </w:t>
      </w:r>
      <w:r w:rsidR="00320570" w:rsidRPr="00FD26AC">
        <w:t>occur, NT</w:t>
      </w:r>
      <w:r w:rsidR="00995BC2" w:rsidRPr="00FD26AC">
        <w:t xml:space="preserve">CS should seek to conclude proceedings by obtaining any outstanding milestone information, and informing an ESP if it is liable for any unacquitted funds which have been disbursed to it by the agency.  </w:t>
      </w:r>
    </w:p>
    <w:p w:rsidR="00B6581B" w:rsidRPr="00FD26AC" w:rsidRDefault="00A82ADD" w:rsidP="00A82ADD">
      <w:pPr>
        <w:pStyle w:val="Heading3"/>
      </w:pPr>
      <w:bookmarkStart w:id="49" w:name="_Toc373104451"/>
      <w:r w:rsidRPr="00FD26AC">
        <w:t xml:space="preserve">Contract </w:t>
      </w:r>
      <w:r w:rsidR="00B6581B" w:rsidRPr="00FD26AC">
        <w:t>Termination</w:t>
      </w:r>
      <w:bookmarkEnd w:id="49"/>
    </w:p>
    <w:p w:rsidR="008E214C" w:rsidRDefault="008E214C" w:rsidP="008E214C">
      <w:r w:rsidRPr="00FD26AC">
        <w:t>Contract termination may occur at any time over the life of the Funding Contract, and will usually occur for significant breaches or levels of non-performance.  Because of the range of ramifications associated with termination, before initiating proceedings NTCS</w:t>
      </w:r>
      <w:r>
        <w:t xml:space="preserve"> must:</w:t>
      </w:r>
    </w:p>
    <w:p w:rsidR="008E214C" w:rsidRDefault="008E214C" w:rsidP="008E214C">
      <w:pPr>
        <w:pStyle w:val="ListParagraph"/>
        <w:numPr>
          <w:ilvl w:val="0"/>
          <w:numId w:val="9"/>
        </w:numPr>
      </w:pPr>
      <w:r>
        <w:t>Revisit if the grant arrangement can be made viable by any means;</w:t>
      </w:r>
    </w:p>
    <w:p w:rsidR="008E214C" w:rsidRDefault="008E214C" w:rsidP="00EC2AED">
      <w:pPr>
        <w:pStyle w:val="ListParagraph"/>
        <w:numPr>
          <w:ilvl w:val="0"/>
          <w:numId w:val="9"/>
        </w:numPr>
      </w:pPr>
      <w:r>
        <w:t>C</w:t>
      </w:r>
      <w:r w:rsidR="00AC1F71">
        <w:t>onsider alternative</w:t>
      </w:r>
      <w:r>
        <w:t xml:space="preserve">s and the </w:t>
      </w:r>
      <w:r w:rsidR="00AC1F71">
        <w:t>possible consequences</w:t>
      </w:r>
      <w:r>
        <w:t xml:space="preserve"> of termination; and</w:t>
      </w:r>
    </w:p>
    <w:p w:rsidR="008E214C" w:rsidRDefault="008E214C" w:rsidP="008E214C">
      <w:pPr>
        <w:pStyle w:val="ListParagraph"/>
        <w:numPr>
          <w:ilvl w:val="0"/>
          <w:numId w:val="9"/>
        </w:numPr>
      </w:pPr>
      <w:r>
        <w:t>S</w:t>
      </w:r>
      <w:r w:rsidR="00AC1F71">
        <w:t xml:space="preserve">eek legal advice </w:t>
      </w:r>
      <w:r>
        <w:t>to manage the process if it is still deemed necessary</w:t>
      </w:r>
      <w:r w:rsidR="00843342">
        <w:t>.</w:t>
      </w:r>
    </w:p>
    <w:p w:rsidR="00B01105" w:rsidRPr="00FD26AC" w:rsidRDefault="0079558D" w:rsidP="008E214C">
      <w:r>
        <w:t xml:space="preserve">Termination rights will be expressed in the </w:t>
      </w:r>
      <w:r w:rsidR="008E214C">
        <w:t xml:space="preserve">standard terms and conditions of funding.  Nevertheless, implementation of these provisions should </w:t>
      </w:r>
      <w:r w:rsidR="001D7EFA">
        <w:t>always be effe</w:t>
      </w:r>
      <w:r w:rsidR="00320570">
        <w:t xml:space="preserve">cted by the legal arm </w:t>
      </w:r>
      <w:r w:rsidR="00320570" w:rsidRPr="00FD26AC">
        <w:t>of NT</w:t>
      </w:r>
      <w:r w:rsidR="001D7EFA" w:rsidRPr="00FD26AC">
        <w:t xml:space="preserve">CS, </w:t>
      </w:r>
      <w:r w:rsidR="00843342" w:rsidRPr="00FD26AC">
        <w:t xml:space="preserve">and </w:t>
      </w:r>
      <w:r w:rsidR="001D7EFA" w:rsidRPr="00FD26AC">
        <w:t xml:space="preserve">not operational or administrative staff in the first instance.  </w:t>
      </w:r>
      <w:r w:rsidR="00843342" w:rsidRPr="00FD26AC">
        <w:t xml:space="preserve">Insofar as is possible, </w:t>
      </w:r>
      <w:r w:rsidR="00320570" w:rsidRPr="00FD26AC">
        <w:t>NT</w:t>
      </w:r>
      <w:r w:rsidR="00B01105" w:rsidRPr="00FD26AC">
        <w:t xml:space="preserve">CS grants staff should </w:t>
      </w:r>
      <w:r w:rsidR="00843342" w:rsidRPr="00FD26AC">
        <w:t xml:space="preserve">confine their involvement </w:t>
      </w:r>
      <w:r w:rsidR="00B01105" w:rsidRPr="00FD26AC">
        <w:t xml:space="preserve">to only obtaining outstanding milestone acquittal information.  </w:t>
      </w:r>
    </w:p>
    <w:p w:rsidR="00CB15A4" w:rsidRPr="00FD26AC" w:rsidRDefault="00A82ADD" w:rsidP="00A82ADD">
      <w:pPr>
        <w:pStyle w:val="Heading3"/>
      </w:pPr>
      <w:bookmarkStart w:id="50" w:name="_Toc373104452"/>
      <w:r w:rsidRPr="00FD26AC">
        <w:t>Repayment of</w:t>
      </w:r>
      <w:r w:rsidR="00CB15A4" w:rsidRPr="00FD26AC">
        <w:t xml:space="preserve"> Funding</w:t>
      </w:r>
      <w:bookmarkEnd w:id="50"/>
    </w:p>
    <w:p w:rsidR="00F26DB1" w:rsidRPr="00FD26AC" w:rsidRDefault="00E14D39" w:rsidP="00E14D39">
      <w:r w:rsidRPr="00FD26AC">
        <w:t xml:space="preserve">An ESP is obliged to periodically submit </w:t>
      </w:r>
      <w:r w:rsidR="00F26DB1" w:rsidRPr="00FD26AC">
        <w:t>its FAS</w:t>
      </w:r>
      <w:r w:rsidRPr="00FD26AC">
        <w:t xml:space="preserve"> to evidence that it has expended funds provided to it by the agency.  Where the sum of all payments disbursed is greater than the total of the sum of that which has been reported to be acquitted (from data collated across all FAS)</w:t>
      </w:r>
      <w:r w:rsidR="00F26DB1" w:rsidRPr="00FD26AC">
        <w:t xml:space="preserve">, a debt may be incurred. </w:t>
      </w:r>
      <w:r w:rsidRPr="00FD26AC">
        <w:t xml:space="preserve"> </w:t>
      </w:r>
      <w:r w:rsidR="00F26DB1" w:rsidRPr="00FD26AC">
        <w:t xml:space="preserve">This amount (including GST) is repayable to NTCS.  </w:t>
      </w:r>
    </w:p>
    <w:p w:rsidR="00F26DB1" w:rsidRPr="00FD26AC" w:rsidRDefault="00F26DB1" w:rsidP="00E14D39">
      <w:r w:rsidRPr="00FD26AC">
        <w:t xml:space="preserve">On completion, the agency should notify and invoice an ESP for any outstanding amounts.  </w:t>
      </w:r>
      <w:r w:rsidR="0061418D" w:rsidRPr="00FD26AC">
        <w:t xml:space="preserve">After the debt has been repaid </w:t>
      </w:r>
      <w:r w:rsidRPr="00FD26AC">
        <w:t>in full to the NTG, the Funding Contract can be considered to be completed.  Additionally, note that:</w:t>
      </w:r>
    </w:p>
    <w:p w:rsidR="0061418D" w:rsidRPr="00FD26AC" w:rsidRDefault="0061418D" w:rsidP="0061418D">
      <w:pPr>
        <w:pStyle w:val="ListParagraph"/>
        <w:numPr>
          <w:ilvl w:val="0"/>
          <w:numId w:val="9"/>
        </w:numPr>
      </w:pPr>
      <w:r w:rsidRPr="00FD26AC">
        <w:t>ESPs should be afforded the opportunity to submit a final FAS, if they wish to contest the quantum of their debt;</w:t>
      </w:r>
    </w:p>
    <w:p w:rsidR="0061418D" w:rsidRPr="00FD26AC" w:rsidRDefault="0061418D" w:rsidP="0061418D">
      <w:pPr>
        <w:pStyle w:val="ListParagraph"/>
        <w:numPr>
          <w:ilvl w:val="0"/>
          <w:numId w:val="9"/>
        </w:numPr>
      </w:pPr>
      <w:r w:rsidRPr="00FD26AC">
        <w:t xml:space="preserve">Residual funding must not be ‘rolled over’ to another Funding Contract or </w:t>
      </w:r>
      <w:r w:rsidR="00306099" w:rsidRPr="00FD26AC">
        <w:t>NTCS</w:t>
      </w:r>
      <w:r w:rsidRPr="00FD26AC">
        <w:t xml:space="preserve"> activity, but rather recouped and then </w:t>
      </w:r>
      <w:r w:rsidR="00306099" w:rsidRPr="00FD26AC">
        <w:t xml:space="preserve">if desired, </w:t>
      </w:r>
      <w:r w:rsidRPr="00FD26AC">
        <w:t xml:space="preserve">reallocated </w:t>
      </w:r>
      <w:r w:rsidR="00306099" w:rsidRPr="00FD26AC">
        <w:t>following proper process;</w:t>
      </w:r>
    </w:p>
    <w:p w:rsidR="00F26DB1" w:rsidRPr="00FD26AC" w:rsidRDefault="003A7D95" w:rsidP="00E14D39">
      <w:pPr>
        <w:pStyle w:val="ListParagraph"/>
        <w:numPr>
          <w:ilvl w:val="0"/>
          <w:numId w:val="9"/>
        </w:numPr>
      </w:pPr>
      <w:r w:rsidRPr="00FD26AC">
        <w:t>NT</w:t>
      </w:r>
      <w:r w:rsidR="00306099" w:rsidRPr="00FD26AC">
        <w:t>CS is not financially liable for ESP overspends</w:t>
      </w:r>
      <w:r w:rsidR="0061418D" w:rsidRPr="00FD26AC">
        <w:t xml:space="preserve"> in providing services; </w:t>
      </w:r>
      <w:r w:rsidR="00306099" w:rsidRPr="00FD26AC">
        <w:t>and</w:t>
      </w:r>
    </w:p>
    <w:p w:rsidR="00B41948" w:rsidRDefault="00E14D39" w:rsidP="00EC2AED">
      <w:pPr>
        <w:pStyle w:val="ListParagraph"/>
        <w:numPr>
          <w:ilvl w:val="0"/>
          <w:numId w:val="9"/>
        </w:numPr>
      </w:pPr>
      <w:r>
        <w:t>Debt</w:t>
      </w:r>
      <w:r w:rsidR="0061418D">
        <w:t xml:space="preserve">s may </w:t>
      </w:r>
      <w:r w:rsidR="00306099">
        <w:t xml:space="preserve">not be </w:t>
      </w:r>
      <w:r w:rsidR="0061418D">
        <w:t>waived with</w:t>
      </w:r>
      <w:r w:rsidR="00306099">
        <w:t>out the express</w:t>
      </w:r>
      <w:r w:rsidR="0061418D">
        <w:t xml:space="preserve"> approval of the Chief </w:t>
      </w:r>
      <w:r w:rsidR="00306099">
        <w:t>Executive Officer.</w:t>
      </w:r>
      <w:r w:rsidR="0061418D">
        <w:t xml:space="preserve"> </w:t>
      </w:r>
      <w:r w:rsidR="00B41948">
        <w:br w:type="page"/>
      </w:r>
    </w:p>
    <w:p w:rsidR="00B41948" w:rsidRDefault="00B41948" w:rsidP="00B6581B">
      <w:pPr>
        <w:pStyle w:val="Heading1"/>
      </w:pPr>
      <w:bookmarkStart w:id="51" w:name="_Toc373104453"/>
      <w:r>
        <w:lastRenderedPageBreak/>
        <w:t>Evaluation of Performance</w:t>
      </w:r>
      <w:bookmarkEnd w:id="51"/>
    </w:p>
    <w:p w:rsidR="00727B8E" w:rsidRPr="00FD26AC" w:rsidRDefault="00EC2AED" w:rsidP="00B41948">
      <w:r>
        <w:t xml:space="preserve">Evaluating the </w:t>
      </w:r>
      <w:r w:rsidR="003C7605">
        <w:t xml:space="preserve">overall </w:t>
      </w:r>
      <w:r>
        <w:t xml:space="preserve">performance of a grant project, and </w:t>
      </w:r>
      <w:r w:rsidR="00A26B91">
        <w:t xml:space="preserve">the performance of </w:t>
      </w:r>
      <w:r>
        <w:t xml:space="preserve">each individual Funding Contract and </w:t>
      </w:r>
      <w:r w:rsidR="003C7605">
        <w:t xml:space="preserve">ESP involved under </w:t>
      </w:r>
      <w:r w:rsidR="00E76A89">
        <w:t>a</w:t>
      </w:r>
      <w:r w:rsidR="003C7605">
        <w:t xml:space="preserve"> project, is the final stage in the </w:t>
      </w:r>
      <w:r>
        <w:t xml:space="preserve">end-to-end grants process.  </w:t>
      </w:r>
      <w:r w:rsidR="003C7605">
        <w:t>Data collect</w:t>
      </w:r>
      <w:r w:rsidR="00E76A89">
        <w:t>ed</w:t>
      </w:r>
      <w:r w:rsidR="003C7605">
        <w:t xml:space="preserve"> </w:t>
      </w:r>
      <w:r w:rsidR="00CA4D9D">
        <w:t>through</w:t>
      </w:r>
      <w:r w:rsidR="003C7605">
        <w:t xml:space="preserve"> </w:t>
      </w:r>
      <w:r w:rsidR="00BC10B0">
        <w:t xml:space="preserve">ESP </w:t>
      </w:r>
      <w:r w:rsidR="003C7605">
        <w:t xml:space="preserve">performance </w:t>
      </w:r>
      <w:r w:rsidR="00CA4D9D">
        <w:t>reporting</w:t>
      </w:r>
      <w:r w:rsidR="003C7605">
        <w:t xml:space="preserve"> over the duration of a </w:t>
      </w:r>
      <w:r w:rsidR="00E76A89">
        <w:t xml:space="preserve">grant activity </w:t>
      </w:r>
      <w:r w:rsidR="003C7605">
        <w:t xml:space="preserve">allows for periodic, as well as post-completion performance evaluation.  These evaluations are an important part of achieving best practice in grants administration, </w:t>
      </w:r>
      <w:r w:rsidR="00C7633D">
        <w:t xml:space="preserve">as they contribute to informing future </w:t>
      </w:r>
      <w:r w:rsidR="004C06F8">
        <w:t>decision</w:t>
      </w:r>
      <w:r w:rsidR="003F1ACC">
        <w:t>s</w:t>
      </w:r>
      <w:r w:rsidR="00C7633D">
        <w:t xml:space="preserve"> on </w:t>
      </w:r>
      <w:r w:rsidR="004C06F8">
        <w:t xml:space="preserve">how grants should be used to </w:t>
      </w:r>
      <w:r w:rsidR="00727B8E" w:rsidRPr="00727B8E">
        <w:t xml:space="preserve">promote the policy objectives and strategic </w:t>
      </w:r>
      <w:r w:rsidR="004E02E7">
        <w:t>intent</w:t>
      </w:r>
      <w:r w:rsidR="00727B8E" w:rsidRPr="00727B8E">
        <w:t xml:space="preserve"> of </w:t>
      </w:r>
      <w:r w:rsidR="003A7D95" w:rsidRPr="00FD26AC">
        <w:t>NT</w:t>
      </w:r>
      <w:r w:rsidR="00727B8E" w:rsidRPr="00FD26AC">
        <w:t xml:space="preserve">CS.  </w:t>
      </w:r>
    </w:p>
    <w:p w:rsidR="005F66CF" w:rsidRPr="00FD26AC" w:rsidRDefault="005705E2" w:rsidP="005F66CF">
      <w:pPr>
        <w:pStyle w:val="Heading2"/>
      </w:pPr>
      <w:bookmarkStart w:id="52" w:name="_Toc373104454"/>
      <w:r w:rsidRPr="00FD26AC">
        <w:t>Data Classification</w:t>
      </w:r>
      <w:bookmarkEnd w:id="52"/>
    </w:p>
    <w:p w:rsidR="00D3559B" w:rsidRPr="00FD26AC" w:rsidRDefault="001F00A0" w:rsidP="00D3559B">
      <w:pPr>
        <w:pStyle w:val="BoxedText"/>
      </w:pPr>
      <w:r w:rsidRPr="00FD26AC">
        <w:t>Reliable m</w:t>
      </w:r>
      <w:r w:rsidR="00D3559B" w:rsidRPr="00FD26AC">
        <w:t xml:space="preserve">easurement of performance requires the collection of basic data, identification of objectives that are distinct and measurable, development of meaningful outcome indicators, and establishment of baselines against which progress can be monitored.  </w:t>
      </w:r>
    </w:p>
    <w:p w:rsidR="00FE3528" w:rsidRPr="00FD26AC" w:rsidRDefault="00407135" w:rsidP="00B41948">
      <w:r w:rsidRPr="00FD26AC">
        <w:t>A</w:t>
      </w:r>
      <w:r w:rsidR="00714892" w:rsidRPr="00FD26AC">
        <w:t xml:space="preserve"> direct link </w:t>
      </w:r>
      <w:r w:rsidRPr="00FD26AC">
        <w:t xml:space="preserve">should be made </w:t>
      </w:r>
      <w:r w:rsidR="00714892" w:rsidRPr="00FD26AC">
        <w:t xml:space="preserve">between planning </w:t>
      </w:r>
      <w:r w:rsidR="006143C2" w:rsidRPr="00FD26AC">
        <w:t xml:space="preserve">and design </w:t>
      </w:r>
      <w:r w:rsidRPr="00FD26AC">
        <w:t>at the outset</w:t>
      </w:r>
      <w:r w:rsidR="00EB0333" w:rsidRPr="00FD26AC">
        <w:t>,</w:t>
      </w:r>
      <w:r w:rsidRPr="00FD26AC">
        <w:t xml:space="preserve"> </w:t>
      </w:r>
      <w:r w:rsidR="00714892" w:rsidRPr="00FD26AC">
        <w:t xml:space="preserve">and </w:t>
      </w:r>
      <w:r w:rsidR="00EB0333" w:rsidRPr="00FD26AC">
        <w:t xml:space="preserve">the </w:t>
      </w:r>
      <w:r w:rsidRPr="00FD26AC">
        <w:t xml:space="preserve">final </w:t>
      </w:r>
      <w:r w:rsidR="00714892" w:rsidRPr="00FD26AC">
        <w:t xml:space="preserve">review </w:t>
      </w:r>
      <w:r w:rsidRPr="00FD26AC">
        <w:t xml:space="preserve">of grant activities.  Accordingly, the agency </w:t>
      </w:r>
      <w:r w:rsidR="00A26B91" w:rsidRPr="00FD26AC">
        <w:t>should</w:t>
      </w:r>
      <w:r w:rsidRPr="00FD26AC">
        <w:t xml:space="preserve"> develop</w:t>
      </w:r>
      <w:r w:rsidR="00A26B91" w:rsidRPr="00FD26AC">
        <w:t xml:space="preserve">, maintain, and use </w:t>
      </w:r>
      <w:r w:rsidRPr="00FD26AC">
        <w:t>codesets of information to classify the outcomes</w:t>
      </w:r>
      <w:r w:rsidR="00DB48B7" w:rsidRPr="00FD26AC">
        <w:t xml:space="preserve"> and objectives</w:t>
      </w:r>
      <w:r w:rsidRPr="00FD26AC">
        <w:t xml:space="preserve"> it seeks</w:t>
      </w:r>
      <w:r w:rsidR="00265E0D" w:rsidRPr="00FD26AC">
        <w:t xml:space="preserve"> into measurable service outputs.</w:t>
      </w:r>
      <w:r w:rsidR="00603330" w:rsidRPr="00FD26AC">
        <w:t xml:space="preserve">  These </w:t>
      </w:r>
      <w:r w:rsidR="00A90B36" w:rsidRPr="00FD26AC">
        <w:t xml:space="preserve">output </w:t>
      </w:r>
      <w:r w:rsidR="00603330" w:rsidRPr="00FD26AC">
        <w:t xml:space="preserve">classifications should remain relatively constant to allow for ongoing analysis and comparison </w:t>
      </w:r>
      <w:r w:rsidR="00DF6729" w:rsidRPr="00FD26AC">
        <w:t>w</w:t>
      </w:r>
      <w:r w:rsidR="004D62DC" w:rsidRPr="00FD26AC">
        <w:t xml:space="preserve">ithin </w:t>
      </w:r>
      <w:r w:rsidR="00603330" w:rsidRPr="00FD26AC">
        <w:t xml:space="preserve">projects and </w:t>
      </w:r>
      <w:r w:rsidR="00DF6729" w:rsidRPr="00FD26AC">
        <w:t xml:space="preserve">across </w:t>
      </w:r>
      <w:r w:rsidR="00603330" w:rsidRPr="00FD26AC">
        <w:t xml:space="preserve">Funding </w:t>
      </w:r>
      <w:r w:rsidR="000601DB" w:rsidRPr="00FD26AC">
        <w:t xml:space="preserve">Contracts.  </w:t>
      </w:r>
    </w:p>
    <w:p w:rsidR="00E76A89" w:rsidRDefault="00E76A89" w:rsidP="00E76A89">
      <w:r w:rsidRPr="00FD26AC">
        <w:t xml:space="preserve">Baselines for performance evaluation of Funding Contracts are obtained from the initial assessment of applications.  These scores can be validly used as a reference point for comparison against </w:t>
      </w:r>
      <w:r w:rsidR="00A90B36" w:rsidRPr="00FD26AC">
        <w:t xml:space="preserve">subsequent, </w:t>
      </w:r>
      <w:r w:rsidRPr="00FD26AC">
        <w:t>corresponding appraisals of peri</w:t>
      </w:r>
      <w:r w:rsidR="003A7D95" w:rsidRPr="00FD26AC">
        <w:t>odic performance data by NT</w:t>
      </w:r>
      <w:r w:rsidRPr="00FD26AC">
        <w:t>CS.</w:t>
      </w:r>
      <w:r>
        <w:t xml:space="preserve">  </w:t>
      </w:r>
    </w:p>
    <w:p w:rsidR="00E76A89" w:rsidRDefault="00960089" w:rsidP="00B41948">
      <w:r>
        <w:t xml:space="preserve">Bear in mind that there is a difference between performance data, and administrative data.  Both sets of information are </w:t>
      </w:r>
      <w:r w:rsidR="00210E0C">
        <w:t>informative to the agency</w:t>
      </w:r>
      <w:r>
        <w:t>, but they should not be conflated when conducting evaluation</w:t>
      </w:r>
      <w:r w:rsidR="00E76A89">
        <w:t>s</w:t>
      </w:r>
      <w:r>
        <w:t xml:space="preserve"> of performance.  The </w:t>
      </w:r>
      <w:r w:rsidR="003F05B0">
        <w:t xml:space="preserve">size or </w:t>
      </w:r>
      <w:r>
        <w:t xml:space="preserve">number of </w:t>
      </w:r>
      <w:r w:rsidR="003F05B0">
        <w:t xml:space="preserve">Funding Contracts awarded under a grant project is for example, simply a measure of administrative activity, and does not necessarily correlate to the success of a grants program.  </w:t>
      </w:r>
    </w:p>
    <w:p w:rsidR="00B6581B" w:rsidRDefault="00A30926" w:rsidP="00FB0F85">
      <w:pPr>
        <w:pStyle w:val="Heading2"/>
      </w:pPr>
      <w:bookmarkStart w:id="53" w:name="_Toc373104455"/>
      <w:r>
        <w:t xml:space="preserve">Performance </w:t>
      </w:r>
      <w:r w:rsidR="00B6581B">
        <w:t>Data Collection</w:t>
      </w:r>
      <w:bookmarkEnd w:id="53"/>
    </w:p>
    <w:p w:rsidR="009B60C2" w:rsidRDefault="009B60C2" w:rsidP="009B60C2">
      <w:pPr>
        <w:pStyle w:val="BoxedText"/>
      </w:pPr>
      <w:r>
        <w:t xml:space="preserve">Output and outcomes data should be collected </w:t>
      </w:r>
      <w:r w:rsidR="005F6CFF">
        <w:t xml:space="preserve">from an ESP </w:t>
      </w:r>
      <w:r>
        <w:t xml:space="preserve">over the life of a Funding Contract.  All data should be </w:t>
      </w:r>
      <w:r w:rsidR="00B66EAD">
        <w:t xml:space="preserve">acquired in a </w:t>
      </w:r>
      <w:r>
        <w:t>consistent format and be quantifiable</w:t>
      </w:r>
      <w:r w:rsidR="00B66EAD">
        <w:t>,</w:t>
      </w:r>
      <w:r>
        <w:t xml:space="preserve"> to allow for further analysis and reporting as required.  </w:t>
      </w:r>
    </w:p>
    <w:p w:rsidR="009B60C2" w:rsidRDefault="00C44583" w:rsidP="00C44583">
      <w:r>
        <w:t>Perfo</w:t>
      </w:r>
      <w:r w:rsidR="005F66CF">
        <w:t xml:space="preserve">rmance evaluations </w:t>
      </w:r>
      <w:r>
        <w:t>will only be as relia</w:t>
      </w:r>
      <w:r w:rsidR="007F34D5">
        <w:t>ble as the data that they are reliant upon</w:t>
      </w:r>
      <w:r>
        <w:t xml:space="preserve">.  Accordingly, </w:t>
      </w:r>
      <w:r w:rsidR="005F66CF">
        <w:t>data collected through ESP pe</w:t>
      </w:r>
      <w:r w:rsidR="007F34D5">
        <w:t xml:space="preserve">rformance reports should be validated by the </w:t>
      </w:r>
      <w:r w:rsidR="00357FE9">
        <w:t>agency insofar as is possible – notwithstanding an ESP</w:t>
      </w:r>
      <w:r w:rsidR="0098343A">
        <w:t>’</w:t>
      </w:r>
      <w:r w:rsidR="00357FE9">
        <w:t xml:space="preserve">s obligation to report accurately.  </w:t>
      </w:r>
      <w:r w:rsidR="007F34D5">
        <w:t>This can be achieved through the monitoring process generally, and more specifically by maintaining clear and</w:t>
      </w:r>
      <w:r w:rsidR="00A76310">
        <w:t xml:space="preserve"> regular dialogue with an ESP regarding its activities.  </w:t>
      </w:r>
    </w:p>
    <w:p w:rsidR="00FD5CBD" w:rsidRDefault="001C4576" w:rsidP="00A76310">
      <w:r>
        <w:t xml:space="preserve">Special attention should be given to </w:t>
      </w:r>
      <w:r w:rsidR="00B0506F">
        <w:t>structuring databases</w:t>
      </w:r>
      <w:r w:rsidR="00A76310">
        <w:t>.  These should sy</w:t>
      </w:r>
      <w:r w:rsidR="00B0506F">
        <w:t>stematically collate performance data</w:t>
      </w:r>
      <w:r w:rsidR="00A76310">
        <w:t xml:space="preserve">, </w:t>
      </w:r>
      <w:r w:rsidR="00B0506F">
        <w:t>allow for thorough reporting</w:t>
      </w:r>
      <w:r w:rsidR="00A76310">
        <w:t>,</w:t>
      </w:r>
      <w:r w:rsidR="00B0506F">
        <w:t xml:space="preserve"> and provide the capacity to </w:t>
      </w:r>
      <w:r w:rsidR="00A76310">
        <w:t xml:space="preserve">conduct rigorous statistical analysis </w:t>
      </w:r>
      <w:r w:rsidR="00FD5CBD">
        <w:t>if</w:t>
      </w:r>
      <w:r w:rsidR="00A76310">
        <w:t xml:space="preserve"> required.  </w:t>
      </w:r>
      <w:r w:rsidR="00FD5CBD">
        <w:t>E</w:t>
      </w:r>
      <w:r w:rsidR="00A76310">
        <w:t xml:space="preserve">lectronic databases should </w:t>
      </w:r>
      <w:r w:rsidR="00FD5CBD">
        <w:t>be housed in secure, protected and backed-up environments, and accessible only to staff with appropriate clearances. Hardcopy records should also be retained, for security and audit considerations.</w:t>
      </w:r>
    </w:p>
    <w:p w:rsidR="002458F7" w:rsidRDefault="00A30926" w:rsidP="0020144D">
      <w:pPr>
        <w:pStyle w:val="Heading2"/>
      </w:pPr>
      <w:bookmarkStart w:id="54" w:name="_Toc373104456"/>
      <w:r>
        <w:lastRenderedPageBreak/>
        <w:t xml:space="preserve">Performance </w:t>
      </w:r>
      <w:r w:rsidR="002458F7">
        <w:t xml:space="preserve">Data </w:t>
      </w:r>
      <w:r w:rsidR="005F66CF">
        <w:t>A</w:t>
      </w:r>
      <w:r w:rsidR="002458F7">
        <w:t>nalysis</w:t>
      </w:r>
      <w:bookmarkEnd w:id="54"/>
    </w:p>
    <w:p w:rsidR="009B390C" w:rsidRDefault="009B390C" w:rsidP="009B390C">
      <w:pPr>
        <w:pStyle w:val="BoxedText"/>
      </w:pPr>
      <w:r>
        <w:t xml:space="preserve">Performance analysis must be conducted using realised data and a consistent methodology with transparent assumptions.  </w:t>
      </w:r>
    </w:p>
    <w:p w:rsidR="0098746F" w:rsidRDefault="0098746F" w:rsidP="00910B13">
      <w:r>
        <w:t>Care should be taken to ensure evaluations are informed by analysis of actually delivered outputs and demonstrated outcomes, as advised by an ESP through its milestone acquittal framework.  Whilst forecast data may be useful during the project establishment and application appraisal stages, it is inappropriate for use in actual p</w:t>
      </w:r>
      <w:r w:rsidR="00A97831">
        <w:t xml:space="preserve">erformance evaluation.  </w:t>
      </w:r>
    </w:p>
    <w:p w:rsidR="00B51951" w:rsidRDefault="00A97831" w:rsidP="00A97831">
      <w:r>
        <w:t>Maintaining methodological consistency in analysing data is a key to produc</w:t>
      </w:r>
      <w:r w:rsidR="00961CE9">
        <w:t xml:space="preserve">ing meaningful evaluations </w:t>
      </w:r>
      <w:r>
        <w:t>which assess the impact, efficiency or effectiveness of a</w:t>
      </w:r>
      <w:r w:rsidR="00961CE9">
        <w:t>n entire</w:t>
      </w:r>
      <w:r>
        <w:t xml:space="preserve"> grant pro</w:t>
      </w:r>
      <w:r w:rsidR="00961CE9">
        <w:t>ject or specific Funding Contracts</w:t>
      </w:r>
      <w:r w:rsidR="00961CE9" w:rsidRPr="00FD26AC">
        <w:t xml:space="preserve">.  </w:t>
      </w:r>
      <w:r w:rsidR="00B51951" w:rsidRPr="00FD26AC">
        <w:t>NTCS methodology</w:t>
      </w:r>
      <w:r w:rsidR="00B51951">
        <w:t xml:space="preserve"> for evaluation is simple but robust, and predicated on the assumptions that:</w:t>
      </w:r>
    </w:p>
    <w:p w:rsidR="004C0031" w:rsidRDefault="004C0031" w:rsidP="00B51951">
      <w:pPr>
        <w:pStyle w:val="ListParagraph"/>
        <w:numPr>
          <w:ilvl w:val="0"/>
          <w:numId w:val="9"/>
        </w:numPr>
      </w:pPr>
      <w:r>
        <w:t xml:space="preserve">All four selection/performance criteria are equally significant; </w:t>
      </w:r>
    </w:p>
    <w:p w:rsidR="00B51951" w:rsidRDefault="00B51951" w:rsidP="00B51951">
      <w:pPr>
        <w:pStyle w:val="ListParagraph"/>
        <w:numPr>
          <w:ilvl w:val="0"/>
          <w:numId w:val="9"/>
        </w:numPr>
      </w:pPr>
      <w:r>
        <w:t xml:space="preserve">All performance periods </w:t>
      </w:r>
      <w:r w:rsidR="004C0031">
        <w:t xml:space="preserve">during a Funding Contract </w:t>
      </w:r>
      <w:r>
        <w:t xml:space="preserve">are equally significant; </w:t>
      </w:r>
    </w:p>
    <w:p w:rsidR="004C0031" w:rsidRDefault="004C0031" w:rsidP="00B51951">
      <w:pPr>
        <w:pStyle w:val="ListParagraph"/>
        <w:numPr>
          <w:ilvl w:val="0"/>
          <w:numId w:val="9"/>
        </w:numPr>
      </w:pPr>
      <w:r>
        <w:t>All Funding Contracts are equally significant to determining the success of a grant project;</w:t>
      </w:r>
    </w:p>
    <w:p w:rsidR="001E6B1E" w:rsidRDefault="001E6B1E" w:rsidP="001E6B1E">
      <w:pPr>
        <w:pStyle w:val="ListParagraph"/>
        <w:numPr>
          <w:ilvl w:val="0"/>
          <w:numId w:val="9"/>
        </w:numPr>
      </w:pPr>
      <w:r>
        <w:t>All individual classes of outputs are equally significant in a Funding Contract; and</w:t>
      </w:r>
    </w:p>
    <w:p w:rsidR="005E45B9" w:rsidRDefault="001E6B1E" w:rsidP="001E6B1E">
      <w:pPr>
        <w:pStyle w:val="ListParagraph"/>
        <w:numPr>
          <w:ilvl w:val="0"/>
          <w:numId w:val="9"/>
        </w:numPr>
      </w:pPr>
      <w:r>
        <w:t>Q</w:t>
      </w:r>
      <w:r w:rsidR="00B51951">
        <w:t xml:space="preserve">uantitative delivery of outputs is equally important to qualitative </w:t>
      </w:r>
      <w:r>
        <w:t>a</w:t>
      </w:r>
      <w:r w:rsidR="00C00AD2">
        <w:t>ch</w:t>
      </w:r>
      <w:r>
        <w:t>i</w:t>
      </w:r>
      <w:r w:rsidR="00C00AD2">
        <w:t>e</w:t>
      </w:r>
      <w:r>
        <w:t xml:space="preserve">vement of outcomes.  </w:t>
      </w:r>
    </w:p>
    <w:p w:rsidR="00A663F1" w:rsidRDefault="004C0031" w:rsidP="00910B13">
      <w:r>
        <w:t xml:space="preserve">This methodology may be </w:t>
      </w:r>
      <w:r w:rsidR="00A663F1">
        <w:t>weighted</w:t>
      </w:r>
      <w:r>
        <w:t xml:space="preserve"> from time to time to place greater emphasis on one or more variables, depending on the strategic </w:t>
      </w:r>
      <w:r w:rsidR="003456EA">
        <w:t>intent</w:t>
      </w:r>
      <w:r>
        <w:t xml:space="preserve"> </w:t>
      </w:r>
      <w:r w:rsidRPr="00FD26AC">
        <w:t xml:space="preserve">of NTCS.  </w:t>
      </w:r>
      <w:r w:rsidR="00A663F1" w:rsidRPr="00FD26AC">
        <w:t>Changes</w:t>
      </w:r>
      <w:r w:rsidR="00A663F1">
        <w:t xml:space="preserve"> should however, be made transparently and uniformly across a grant project, or indeed the whole grants program of the agency.  </w:t>
      </w:r>
    </w:p>
    <w:p w:rsidR="009B390C" w:rsidRDefault="005D1A4A" w:rsidP="009B390C">
      <w:pPr>
        <w:pStyle w:val="Heading2"/>
      </w:pPr>
      <w:bookmarkStart w:id="55" w:name="_Toc373104457"/>
      <w:r>
        <w:t>Estimating</w:t>
      </w:r>
      <w:r w:rsidR="009B390C">
        <w:t xml:space="preserve"> Added Value</w:t>
      </w:r>
      <w:bookmarkEnd w:id="55"/>
    </w:p>
    <w:p w:rsidR="00917852" w:rsidRDefault="00917852" w:rsidP="001A3093">
      <w:pPr>
        <w:pStyle w:val="BoxedText"/>
      </w:pPr>
      <w:r>
        <w:t>When attempting to estimate added value, consider the extent to which benefits obtained have bee</w:t>
      </w:r>
      <w:bookmarkStart w:id="56" w:name="_GoBack"/>
      <w:bookmarkEnd w:id="56"/>
      <w:r>
        <w:t>n offset by costs incurred elsewhere (displacement); have replaced benefits achieved by other means (substitution); have expanded, transferred or reduced production, and increased or decreased productivity; are likely to be sustainable; and</w:t>
      </w:r>
      <w:r w:rsidR="001A3093">
        <w:t xml:space="preserve"> might</w:t>
      </w:r>
      <w:r>
        <w:t xml:space="preserve"> have been obtained on the same scale and timeframe without the award of the grant funding.  </w:t>
      </w:r>
    </w:p>
    <w:p w:rsidR="002A62C3" w:rsidRDefault="00E80023" w:rsidP="003B3005">
      <w:r>
        <w:t xml:space="preserve">Ultimately establishing the degree to which a grant activity has produced ‘added value’ is a </w:t>
      </w:r>
      <w:r w:rsidR="00147252">
        <w:t xml:space="preserve">much </w:t>
      </w:r>
      <w:r>
        <w:t xml:space="preserve">more complex and subjective </w:t>
      </w:r>
      <w:r w:rsidR="009B390C">
        <w:t xml:space="preserve">task than performing an </w:t>
      </w:r>
      <w:r w:rsidR="00A62BA8">
        <w:t xml:space="preserve">empirical evaluation based on outputs and outcomes performance report data.  </w:t>
      </w:r>
      <w:r w:rsidR="009F5F86">
        <w:t xml:space="preserve">Complex statistical </w:t>
      </w:r>
      <w:r w:rsidR="0066451D">
        <w:t>analysis</w:t>
      </w:r>
      <w:r w:rsidR="009F5F86">
        <w:t xml:space="preserve"> may be </w:t>
      </w:r>
      <w:r w:rsidR="0066451D">
        <w:t>employed</w:t>
      </w:r>
      <w:r w:rsidR="009F5F86">
        <w:t xml:space="preserve">, but </w:t>
      </w:r>
      <w:r w:rsidR="0066451D">
        <w:t>can</w:t>
      </w:r>
      <w:r w:rsidR="009F5F86">
        <w:t xml:space="preserve"> be administratively burdensome to effect</w:t>
      </w:r>
      <w:r w:rsidR="002A62C3">
        <w:t xml:space="preserve"> when staff are not technically skilled to utilise these techniques.  Accordingly, when attempting to </w:t>
      </w:r>
      <w:r w:rsidR="00697A3D">
        <w:t>estimate</w:t>
      </w:r>
      <w:r w:rsidR="002A62C3">
        <w:t xml:space="preserve"> added value, it will normally be more practical to generally consider</w:t>
      </w:r>
      <w:r w:rsidR="0056764A">
        <w:t xml:space="preserve"> the </w:t>
      </w:r>
      <w:r w:rsidR="003B3005">
        <w:t xml:space="preserve">aforementioned factors.  </w:t>
      </w:r>
    </w:p>
    <w:p w:rsidR="009E61D2" w:rsidRDefault="00432388">
      <w:r>
        <w:t xml:space="preserve">These considerations are of course, highly subjective.  Nevertheless, they should be </w:t>
      </w:r>
      <w:r w:rsidR="00147252">
        <w:t>reflected upon</w:t>
      </w:r>
      <w:r>
        <w:t xml:space="preserve"> at the conclusion of a grants project in particular, to inform </w:t>
      </w:r>
      <w:r w:rsidR="00C0383F">
        <w:t xml:space="preserve">and improve </w:t>
      </w:r>
      <w:r w:rsidR="006A288B">
        <w:t xml:space="preserve">the design and implementation of </w:t>
      </w:r>
      <w:r w:rsidR="003A7D95" w:rsidRPr="00FD26AC">
        <w:t>future NT</w:t>
      </w:r>
      <w:r w:rsidRPr="00FD26AC">
        <w:t>CS</w:t>
      </w:r>
      <w:r w:rsidR="006A288B" w:rsidRPr="00FD26AC">
        <w:t xml:space="preserve"> grant</w:t>
      </w:r>
      <w:r w:rsidR="001B1252">
        <w:t xml:space="preserve"> initiatives. ■</w:t>
      </w:r>
    </w:p>
    <w:p w:rsidR="00B41948" w:rsidRDefault="00B41948">
      <w:r>
        <w:br w:type="page"/>
      </w:r>
    </w:p>
    <w:p w:rsidR="001C0FB0" w:rsidRDefault="00D2554A" w:rsidP="00B6581B">
      <w:pPr>
        <w:pStyle w:val="Heading1"/>
      </w:pPr>
      <w:bookmarkStart w:id="57" w:name="_Toc373104458"/>
      <w:r>
        <w:lastRenderedPageBreak/>
        <w:t>Further Reading</w:t>
      </w:r>
      <w:bookmarkEnd w:id="57"/>
    </w:p>
    <w:p w:rsidR="001C0FB0" w:rsidRDefault="00D2554A" w:rsidP="00807B8A">
      <w:r>
        <w:t xml:space="preserve">A </w:t>
      </w:r>
      <w:r w:rsidR="00557737">
        <w:t xml:space="preserve">wide </w:t>
      </w:r>
      <w:r>
        <w:t xml:space="preserve">range of </w:t>
      </w:r>
      <w:r w:rsidR="00350976">
        <w:t xml:space="preserve">information considering </w:t>
      </w:r>
      <w:r>
        <w:t xml:space="preserve">best practice in relation to grants </w:t>
      </w:r>
      <w:r w:rsidR="00350976">
        <w:t xml:space="preserve">funding and </w:t>
      </w:r>
      <w:r w:rsidR="00557737">
        <w:t xml:space="preserve">administration </w:t>
      </w:r>
      <w:r w:rsidR="00350976">
        <w:t>is</w:t>
      </w:r>
      <w:r w:rsidR="00557737">
        <w:t xml:space="preserve"> available for further reference.  Users may wish to consult with </w:t>
      </w:r>
      <w:r w:rsidR="00350976">
        <w:t xml:space="preserve">some of </w:t>
      </w:r>
      <w:r w:rsidR="00557737">
        <w:t xml:space="preserve">the following publications for additional guidance.  </w:t>
      </w:r>
    </w:p>
    <w:p w:rsidR="002F32A2" w:rsidRDefault="002F32A2" w:rsidP="00807B8A"/>
    <w:p w:rsidR="002F32A2" w:rsidRDefault="002F32A2" w:rsidP="007D6D19">
      <w:pPr>
        <w:pStyle w:val="ReferenceResource"/>
      </w:pPr>
      <w:r>
        <w:t xml:space="preserve">Attorney-General’s Department (2013) </w:t>
      </w:r>
      <w:r>
        <w:rPr>
          <w:i/>
        </w:rPr>
        <w:t xml:space="preserve">Indigenous Justice Program Guidelines 2012-13 2013-2014. </w:t>
      </w:r>
      <w:r>
        <w:t>Commonwealth of Australia, Canberra.</w:t>
      </w:r>
    </w:p>
    <w:p w:rsidR="002F32A2" w:rsidRDefault="002F32A2" w:rsidP="007D6D19">
      <w:pPr>
        <w:pStyle w:val="ReferenceResource"/>
      </w:pPr>
      <w:r>
        <w:t>Australian Government Solicitor (2013) “</w:t>
      </w:r>
      <w:r>
        <w:rPr>
          <w:i/>
        </w:rPr>
        <w:t xml:space="preserve">Commonwealth Grants: An Overview of Legal Issues. </w:t>
      </w:r>
      <w:r>
        <w:t xml:space="preserve">Legal Briefing No 99.  Australian Government Solicitor, Canberra.   </w:t>
      </w:r>
    </w:p>
    <w:p w:rsidR="002F32A2" w:rsidRDefault="002F32A2" w:rsidP="007D6D19">
      <w:pPr>
        <w:pStyle w:val="ReferenceResource"/>
      </w:pPr>
      <w:r>
        <w:t xml:space="preserve">Australian National Audit Office (2002) </w:t>
      </w:r>
      <w:r w:rsidRPr="00557737">
        <w:rPr>
          <w:i/>
        </w:rPr>
        <w:t>Administration of Grants: Better Practice Guide.</w:t>
      </w:r>
      <w:r>
        <w:t xml:space="preserve">  Commonwealth of Australia, Canberra.  </w:t>
      </w:r>
    </w:p>
    <w:p w:rsidR="002F32A2" w:rsidRDefault="002F32A2" w:rsidP="007D6D19">
      <w:pPr>
        <w:pStyle w:val="ReferenceResource"/>
      </w:pPr>
      <w:r>
        <w:t xml:space="preserve">Australian National Audit Office (2010) </w:t>
      </w:r>
      <w:r>
        <w:rPr>
          <w:i/>
        </w:rPr>
        <w:t xml:space="preserve">Implementing Better Practice: Grants Administration. </w:t>
      </w:r>
      <w:r>
        <w:t>Commonwealth of Australia, Canberra.</w:t>
      </w:r>
    </w:p>
    <w:p w:rsidR="002F32A2" w:rsidRDefault="002F32A2" w:rsidP="007D6D19">
      <w:pPr>
        <w:pStyle w:val="ReferenceResource"/>
      </w:pPr>
      <w:r>
        <w:t xml:space="preserve">Department of Finance and Deregulation (2011) </w:t>
      </w:r>
      <w:r w:rsidRPr="00A46E00">
        <w:rPr>
          <w:i/>
        </w:rPr>
        <w:t xml:space="preserve">National Standard Chart of Accounts for </w:t>
      </w:r>
      <w:r>
        <w:rPr>
          <w:i/>
        </w:rPr>
        <w:t>R</w:t>
      </w:r>
      <w:r w:rsidRPr="00A46E00">
        <w:rPr>
          <w:i/>
        </w:rPr>
        <w:t xml:space="preserve">eporting by </w:t>
      </w:r>
      <w:r>
        <w:rPr>
          <w:i/>
        </w:rPr>
        <w:t>N</w:t>
      </w:r>
      <w:r w:rsidRPr="00A46E00">
        <w:rPr>
          <w:i/>
        </w:rPr>
        <w:t>ot-for-</w:t>
      </w:r>
      <w:r>
        <w:rPr>
          <w:i/>
        </w:rPr>
        <w:t>p</w:t>
      </w:r>
      <w:r w:rsidRPr="00A46E00">
        <w:rPr>
          <w:i/>
        </w:rPr>
        <w:t xml:space="preserve">rofit </w:t>
      </w:r>
      <w:r>
        <w:rPr>
          <w:i/>
        </w:rPr>
        <w:t>O</w:t>
      </w:r>
      <w:r w:rsidRPr="00A46E00">
        <w:rPr>
          <w:i/>
        </w:rPr>
        <w:t>rganisations</w:t>
      </w:r>
      <w:r>
        <w:rPr>
          <w:i/>
        </w:rPr>
        <w:t xml:space="preserve">. </w:t>
      </w:r>
      <w:r w:rsidRPr="00C555E9">
        <w:t xml:space="preserve">Finance Circular 2011/03.  </w:t>
      </w:r>
      <w:r>
        <w:t>Commonwealth of Australia, Canberra.</w:t>
      </w:r>
    </w:p>
    <w:p w:rsidR="002F32A2" w:rsidRDefault="002F32A2" w:rsidP="007D6D19">
      <w:pPr>
        <w:pStyle w:val="ReferenceResource"/>
      </w:pPr>
      <w:r>
        <w:t xml:space="preserve">Department of Finance and Deregulation (2013) </w:t>
      </w:r>
      <w:r>
        <w:rPr>
          <w:i/>
        </w:rPr>
        <w:t xml:space="preserve">Australian Government Grants: Briefing and Reporting. </w:t>
      </w:r>
      <w:r>
        <w:t>Finance Circular 2013/02. Commonwealth of Australia, Canberra.</w:t>
      </w:r>
    </w:p>
    <w:p w:rsidR="002F32A2" w:rsidRDefault="002F32A2" w:rsidP="007D6D19">
      <w:pPr>
        <w:pStyle w:val="ReferenceResource"/>
      </w:pPr>
      <w:r>
        <w:t xml:space="preserve">Department of Finance and Deregulation (2013) </w:t>
      </w:r>
      <w:r w:rsidRPr="001E0698">
        <w:rPr>
          <w:i/>
        </w:rPr>
        <w:t>Commonwealth Grant Guidelines, 2</w:t>
      </w:r>
      <w:r w:rsidRPr="001E0698">
        <w:rPr>
          <w:i/>
          <w:vertAlign w:val="superscript"/>
        </w:rPr>
        <w:t>nd</w:t>
      </w:r>
      <w:r w:rsidRPr="001E0698">
        <w:rPr>
          <w:i/>
        </w:rPr>
        <w:t xml:space="preserve"> </w:t>
      </w:r>
      <w:r>
        <w:rPr>
          <w:i/>
        </w:rPr>
        <w:t xml:space="preserve">edition. </w:t>
      </w:r>
      <w:r w:rsidRPr="00032BDE">
        <w:t>Financial Management Guidance No. 3.</w:t>
      </w:r>
      <w:r>
        <w:t xml:space="preserve"> Commonwealth of Australia, Canberra.</w:t>
      </w:r>
    </w:p>
    <w:p w:rsidR="002F32A2" w:rsidRDefault="002F32A2" w:rsidP="007D6D19">
      <w:pPr>
        <w:pStyle w:val="ReferenceResource"/>
      </w:pPr>
      <w:r>
        <w:t xml:space="preserve">Department of Finance and Deregulation (2013) </w:t>
      </w:r>
      <w:r w:rsidRPr="001E0698">
        <w:rPr>
          <w:i/>
        </w:rPr>
        <w:t xml:space="preserve">Grants, Procurements and other Financial </w:t>
      </w:r>
      <w:r>
        <w:rPr>
          <w:i/>
        </w:rPr>
        <w:t>Arrangements.</w:t>
      </w:r>
      <w:r w:rsidRPr="001E0698">
        <w:rPr>
          <w:i/>
        </w:rPr>
        <w:t xml:space="preserve"> </w:t>
      </w:r>
      <w:r w:rsidRPr="00032BDE">
        <w:t>Finance Circular No. 2013/01.</w:t>
      </w:r>
      <w:r>
        <w:t xml:space="preserve"> Commonwealth of Australia, Canberra.</w:t>
      </w:r>
    </w:p>
    <w:p w:rsidR="00E45B2C" w:rsidRDefault="00E45B2C" w:rsidP="00E45B2C">
      <w:pPr>
        <w:pStyle w:val="ReferenceResource"/>
      </w:pPr>
      <w:r>
        <w:t xml:space="preserve">Grant, P. (2008) </w:t>
      </w:r>
      <w:r w:rsidRPr="00E45B2C">
        <w:rPr>
          <w:i/>
        </w:rPr>
        <w:t>Strategic Review of the Administration of Australian Government Grant Programs</w:t>
      </w:r>
      <w:r>
        <w:rPr>
          <w:i/>
        </w:rPr>
        <w:t>, 1</w:t>
      </w:r>
      <w:r w:rsidRPr="00E45B2C">
        <w:rPr>
          <w:i/>
          <w:vertAlign w:val="superscript"/>
        </w:rPr>
        <w:t>st</w:t>
      </w:r>
      <w:r>
        <w:rPr>
          <w:i/>
        </w:rPr>
        <w:t xml:space="preserve"> Review</w:t>
      </w:r>
      <w:r w:rsidRPr="00E45B2C">
        <w:rPr>
          <w:i/>
        </w:rPr>
        <w:t>.</w:t>
      </w:r>
      <w:r>
        <w:t xml:space="preserve">  Commonwealth of Australia, Canberra. </w:t>
      </w:r>
    </w:p>
    <w:p w:rsidR="00E45B2C" w:rsidRDefault="00E45B2C" w:rsidP="00E45B2C">
      <w:pPr>
        <w:pStyle w:val="ReferenceResource"/>
      </w:pPr>
      <w:r>
        <w:t xml:space="preserve">Kelly, J. (2008) </w:t>
      </w:r>
      <w:r w:rsidRPr="00E45B2C">
        <w:rPr>
          <w:i/>
        </w:rPr>
        <w:t>Strategic Review of the Administration of Australian Government Grant Programs</w:t>
      </w:r>
      <w:r>
        <w:rPr>
          <w:i/>
        </w:rPr>
        <w:t>, 2</w:t>
      </w:r>
      <w:r w:rsidRPr="00E45B2C">
        <w:rPr>
          <w:i/>
          <w:vertAlign w:val="superscript"/>
        </w:rPr>
        <w:t>nd</w:t>
      </w:r>
      <w:r>
        <w:rPr>
          <w:i/>
        </w:rPr>
        <w:t xml:space="preserve"> Review</w:t>
      </w:r>
      <w:r w:rsidRPr="00E45B2C">
        <w:rPr>
          <w:i/>
        </w:rPr>
        <w:t>.</w:t>
      </w:r>
      <w:r>
        <w:t xml:space="preserve">  Commonwealth of Australia, Canberra. </w:t>
      </w:r>
    </w:p>
    <w:p w:rsidR="002F32A2" w:rsidRDefault="002F32A2" w:rsidP="007D6D19">
      <w:pPr>
        <w:pStyle w:val="ReferenceResource"/>
      </w:pPr>
      <w:r>
        <w:t xml:space="preserve">New South Wales Department of Health (2010) </w:t>
      </w:r>
      <w:r>
        <w:rPr>
          <w:i/>
        </w:rPr>
        <w:t xml:space="preserve">NSW Health NGO Program Review Recommendations Report. </w:t>
      </w:r>
      <w:r>
        <w:t xml:space="preserve">New South Wales Government, Sydney. </w:t>
      </w:r>
    </w:p>
    <w:p w:rsidR="002F32A2" w:rsidRDefault="002F32A2" w:rsidP="007D6D19">
      <w:pPr>
        <w:pStyle w:val="ReferenceResource"/>
      </w:pPr>
      <w:r>
        <w:t xml:space="preserve">New South Wales Ministry of Health (2013) </w:t>
      </w:r>
      <w:r>
        <w:rPr>
          <w:i/>
        </w:rPr>
        <w:t xml:space="preserve">Partnerships for Health: A Response to the Grants Management Improvement Program Taskforce Report. </w:t>
      </w:r>
      <w:r>
        <w:t>New South Wales Government, Sydney.</w:t>
      </w:r>
    </w:p>
    <w:p w:rsidR="002F32A2" w:rsidRDefault="002F32A2" w:rsidP="007D6D19">
      <w:pPr>
        <w:pStyle w:val="ReferenceResource"/>
      </w:pPr>
      <w:r>
        <w:t xml:space="preserve">Queensland Treasury and Trade (2012) </w:t>
      </w:r>
      <w:r>
        <w:rPr>
          <w:i/>
        </w:rPr>
        <w:t xml:space="preserve">Financial Accountability Handbook, Volume 6: Grant Management. </w:t>
      </w:r>
      <w:r>
        <w:t xml:space="preserve">Queensland Government, Brisbane.  </w:t>
      </w:r>
    </w:p>
    <w:p w:rsidR="002F32A2" w:rsidRDefault="002F32A2" w:rsidP="007D6D19">
      <w:pPr>
        <w:pStyle w:val="ReferenceResource"/>
      </w:pPr>
      <w:r>
        <w:t xml:space="preserve">Tasmania Department of Treasury and Finance (2005) </w:t>
      </w:r>
      <w:r>
        <w:rPr>
          <w:i/>
        </w:rPr>
        <w:t>Best Practice Guide for the Administration of Grants, 3</w:t>
      </w:r>
      <w:r w:rsidRPr="00557737">
        <w:rPr>
          <w:i/>
          <w:vertAlign w:val="superscript"/>
        </w:rPr>
        <w:t>rd</w:t>
      </w:r>
      <w:r>
        <w:rPr>
          <w:i/>
        </w:rPr>
        <w:t xml:space="preserve"> edition.</w:t>
      </w:r>
      <w:r>
        <w:t xml:space="preserve"> Tasmanian Government, Hobart.</w:t>
      </w:r>
    </w:p>
    <w:p w:rsidR="00CC5DE6" w:rsidRDefault="00CC5DE6" w:rsidP="00607382"/>
    <w:sectPr w:rsidR="00CC5DE6" w:rsidSect="0094067E">
      <w:footerReference w:type="default" r:id="rId16"/>
      <w:pgSz w:w="11906" w:h="16838"/>
      <w:pgMar w:top="1758"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70" w:rsidRDefault="009B2E70" w:rsidP="00AD0A22">
      <w:r>
        <w:separator/>
      </w:r>
    </w:p>
  </w:endnote>
  <w:endnote w:type="continuationSeparator" w:id="0">
    <w:p w:rsidR="009B2E70" w:rsidRDefault="009B2E70" w:rsidP="00AD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72" w:rsidRDefault="00037072">
    <w:pPr>
      <w:pStyle w:val="Footer"/>
    </w:pPr>
    <w:r>
      <w:rPr>
        <w:noProof/>
        <w:lang w:eastAsia="en-AU"/>
      </w:rPr>
      <w:drawing>
        <wp:anchor distT="0" distB="0" distL="114300" distR="114300" simplePos="0" relativeHeight="251674624" behindDoc="1" locked="0" layoutInCell="1" allowOverlap="1" wp14:anchorId="06F29309" wp14:editId="22FF7625">
          <wp:simplePos x="0" y="0"/>
          <wp:positionH relativeFrom="column">
            <wp:posOffset>3521471</wp:posOffset>
          </wp:positionH>
          <wp:positionV relativeFrom="paragraph">
            <wp:posOffset>-200582</wp:posOffset>
          </wp:positionV>
          <wp:extent cx="2725947" cy="575987"/>
          <wp:effectExtent l="0" t="0" r="0" b="0"/>
          <wp:wrapNone/>
          <wp:docPr id="8" name="Picture 8" descr="P:\Branding\NTG_newBranding\AGD_DCS_COMBINED\ntcs_nt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ing\NTG_newBranding\AGD_DCS_COMBINED\ntcs_nt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947" cy="5759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2E1">
      <w:t>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70" w:rsidRDefault="009B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4304148"/>
      <w:docPartObj>
        <w:docPartGallery w:val="Page Numbers (Bottom of Page)"/>
        <w:docPartUnique/>
      </w:docPartObj>
    </w:sdtPr>
    <w:sdtEndPr>
      <w:rPr>
        <w:noProof/>
        <w:spacing w:val="10"/>
        <w:sz w:val="22"/>
        <w:szCs w:val="22"/>
      </w:rPr>
    </w:sdtEndPr>
    <w:sdtContent>
      <w:p w:rsidR="009B2E70" w:rsidRPr="00B410F0" w:rsidRDefault="009B2E70" w:rsidP="00004739">
        <w:pPr>
          <w:pStyle w:val="Footer"/>
          <w:jc w:val="center"/>
          <w:rPr>
            <w:spacing w:val="10"/>
          </w:rPr>
        </w:pPr>
        <w:r w:rsidRPr="00B410F0">
          <w:rPr>
            <w:noProof/>
            <w:spacing w:val="10"/>
            <w:sz w:val="20"/>
            <w:szCs w:val="20"/>
            <w:lang w:eastAsia="en-AU"/>
          </w:rPr>
          <w:drawing>
            <wp:anchor distT="0" distB="0" distL="114300" distR="114300" simplePos="0" relativeHeight="251664384" behindDoc="0" locked="0" layoutInCell="1" allowOverlap="1" wp14:anchorId="6E1E6DAC" wp14:editId="20626023">
              <wp:simplePos x="0" y="0"/>
              <wp:positionH relativeFrom="margin">
                <wp:posOffset>5400675</wp:posOffset>
              </wp:positionH>
              <wp:positionV relativeFrom="paragraph">
                <wp:posOffset>-133985</wp:posOffset>
              </wp:positionV>
              <wp:extent cx="799200" cy="543600"/>
              <wp:effectExtent l="0" t="0" r="1270" b="8890"/>
              <wp:wrapNone/>
              <wp:docPr id="22" name="Picture 22" title="Logo Da Capo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mb D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00" cy="543600"/>
                      </a:xfrm>
                      <a:prstGeom prst="rect">
                        <a:avLst/>
                      </a:prstGeom>
                    </pic:spPr>
                  </pic:pic>
                </a:graphicData>
              </a:graphic>
              <wp14:sizeRelH relativeFrom="margin">
                <wp14:pctWidth>0</wp14:pctWidth>
              </wp14:sizeRelH>
              <wp14:sizeRelV relativeFrom="margin">
                <wp14:pctHeight>0</wp14:pctHeight>
              </wp14:sizeRelV>
            </wp:anchor>
          </w:drawing>
        </w:r>
        <w:r w:rsidRPr="00B410F0">
          <w:rPr>
            <w:spacing w:val="10"/>
            <w:sz w:val="20"/>
            <w:szCs w:val="20"/>
          </w:rPr>
          <w:t xml:space="preserve">Page </w:t>
        </w:r>
        <w:r w:rsidRPr="00B410F0">
          <w:rPr>
            <w:spacing w:val="10"/>
            <w:sz w:val="20"/>
            <w:szCs w:val="20"/>
          </w:rPr>
          <w:fldChar w:fldCharType="begin"/>
        </w:r>
        <w:r w:rsidRPr="00B410F0">
          <w:rPr>
            <w:spacing w:val="10"/>
            <w:sz w:val="20"/>
            <w:szCs w:val="20"/>
          </w:rPr>
          <w:instrText xml:space="preserve"> PAGE   \* MERGEFORMAT </w:instrText>
        </w:r>
        <w:r w:rsidRPr="00B410F0">
          <w:rPr>
            <w:spacing w:val="10"/>
            <w:sz w:val="20"/>
            <w:szCs w:val="20"/>
          </w:rPr>
          <w:fldChar w:fldCharType="separate"/>
        </w:r>
        <w:r w:rsidR="00CF0C31">
          <w:rPr>
            <w:noProof/>
            <w:spacing w:val="10"/>
            <w:sz w:val="20"/>
            <w:szCs w:val="20"/>
          </w:rPr>
          <w:t>I</w:t>
        </w:r>
        <w:r w:rsidRPr="00B410F0">
          <w:rPr>
            <w:noProof/>
            <w:spacing w:val="10"/>
            <w:sz w:val="20"/>
            <w:szCs w:val="20"/>
          </w:rPr>
          <w:fldChar w:fldCharType="end"/>
        </w:r>
        <w:r w:rsidR="00AB2A1F">
          <w:rPr>
            <w:noProof/>
            <w:spacing w:val="10"/>
            <w:sz w:val="20"/>
            <w:szCs w:val="20"/>
          </w:rPr>
          <w:t>II</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CB6015"/>
      </w:rPr>
      <w:id w:val="1287786158"/>
      <w:docPartObj>
        <w:docPartGallery w:val="Page Numbers (Bottom of Page)"/>
        <w:docPartUnique/>
      </w:docPartObj>
    </w:sdtPr>
    <w:sdtContent>
      <w:sdt>
        <w:sdtPr>
          <w:rPr>
            <w:b/>
            <w:color w:val="CB6015"/>
          </w:rPr>
          <w:id w:val="860082579"/>
          <w:docPartObj>
            <w:docPartGallery w:val="Page Numbers (Top of Page)"/>
            <w:docPartUnique/>
          </w:docPartObj>
        </w:sdtPr>
        <w:sdtContent>
          <w:p w:rsidR="00F0776B" w:rsidRPr="00F0776B" w:rsidRDefault="00F0776B" w:rsidP="00F0776B">
            <w:pPr>
              <w:pStyle w:val="Footer"/>
              <w:shd w:val="clear" w:color="auto" w:fill="FBE4D5" w:themeFill="accent2" w:themeFillTint="33"/>
              <w:tabs>
                <w:tab w:val="left" w:pos="284"/>
              </w:tabs>
              <w:rPr>
                <w:b/>
                <w:color w:val="CB6015"/>
              </w:rPr>
            </w:pPr>
            <w:r w:rsidRPr="00F0776B">
              <w:rPr>
                <w:b/>
                <w:color w:val="CB6015"/>
              </w:rPr>
              <w:t xml:space="preserve">July 2016 </w:t>
            </w:r>
            <w:r w:rsidRPr="00F0776B">
              <w:rPr>
                <w:b/>
                <w:color w:val="CB6015"/>
              </w:rPr>
              <w:tab/>
            </w:r>
            <w:r w:rsidRPr="00F0776B">
              <w:rPr>
                <w:b/>
                <w:color w:val="CB6015"/>
              </w:rPr>
              <w:tab/>
              <w:t xml:space="preserve">Page </w:t>
            </w:r>
            <w:r w:rsidRPr="00F0776B">
              <w:rPr>
                <w:b/>
                <w:bCs/>
                <w:color w:val="CB6015"/>
                <w:sz w:val="24"/>
                <w:szCs w:val="24"/>
              </w:rPr>
              <w:fldChar w:fldCharType="begin"/>
            </w:r>
            <w:r w:rsidRPr="00F0776B">
              <w:rPr>
                <w:b/>
                <w:bCs/>
                <w:color w:val="CB6015"/>
              </w:rPr>
              <w:instrText xml:space="preserve"> PAGE </w:instrText>
            </w:r>
            <w:r w:rsidRPr="00F0776B">
              <w:rPr>
                <w:b/>
                <w:bCs/>
                <w:color w:val="CB6015"/>
                <w:sz w:val="24"/>
                <w:szCs w:val="24"/>
              </w:rPr>
              <w:fldChar w:fldCharType="separate"/>
            </w:r>
            <w:r w:rsidR="00CF0C31">
              <w:rPr>
                <w:b/>
                <w:bCs/>
                <w:noProof/>
                <w:color w:val="CB6015"/>
              </w:rPr>
              <w:t>1</w:t>
            </w:r>
            <w:r w:rsidRPr="00F0776B">
              <w:rPr>
                <w:b/>
                <w:bCs/>
                <w:color w:val="CB6015"/>
                <w:sz w:val="24"/>
                <w:szCs w:val="24"/>
              </w:rPr>
              <w:fldChar w:fldCharType="end"/>
            </w:r>
            <w:r w:rsidRPr="00F0776B">
              <w:rPr>
                <w:b/>
                <w:color w:val="CB6015"/>
              </w:rPr>
              <w:t xml:space="preserve"> of </w:t>
            </w:r>
            <w:r w:rsidRPr="00F0776B">
              <w:rPr>
                <w:b/>
                <w:bCs/>
                <w:color w:val="CB6015"/>
                <w:sz w:val="24"/>
                <w:szCs w:val="24"/>
              </w:rPr>
              <w:fldChar w:fldCharType="begin"/>
            </w:r>
            <w:r w:rsidRPr="00F0776B">
              <w:rPr>
                <w:b/>
                <w:bCs/>
                <w:color w:val="CB6015"/>
              </w:rPr>
              <w:instrText xml:space="preserve"> NUMPAGES  </w:instrText>
            </w:r>
            <w:r w:rsidRPr="00F0776B">
              <w:rPr>
                <w:b/>
                <w:bCs/>
                <w:color w:val="CB6015"/>
                <w:sz w:val="24"/>
                <w:szCs w:val="24"/>
              </w:rPr>
              <w:fldChar w:fldCharType="separate"/>
            </w:r>
            <w:r w:rsidR="00CF0C31">
              <w:rPr>
                <w:b/>
                <w:bCs/>
                <w:noProof/>
                <w:color w:val="CB6015"/>
              </w:rPr>
              <w:t>29</w:t>
            </w:r>
            <w:r w:rsidRPr="00F0776B">
              <w:rPr>
                <w:b/>
                <w:bCs/>
                <w:color w:val="CB6015"/>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70" w:rsidRDefault="009B2E70" w:rsidP="00AD0A22">
      <w:r>
        <w:separator/>
      </w:r>
    </w:p>
  </w:footnote>
  <w:footnote w:type="continuationSeparator" w:id="0">
    <w:p w:rsidR="009B2E70" w:rsidRDefault="009B2E70" w:rsidP="00AD0A22">
      <w:r>
        <w:continuationSeparator/>
      </w:r>
    </w:p>
  </w:footnote>
  <w:footnote w:id="1">
    <w:p w:rsidR="009B2E70" w:rsidRDefault="009B2E70">
      <w:pPr>
        <w:pStyle w:val="FootnoteText"/>
      </w:pPr>
      <w:r>
        <w:rPr>
          <w:rStyle w:val="FootnoteReference"/>
        </w:rPr>
        <w:footnoteRef/>
      </w:r>
      <w:r>
        <w:t xml:space="preserve"> The legal framework governing grants for agencies of the Commonwealth includes the </w:t>
      </w:r>
      <w:r w:rsidRPr="001C2AF5">
        <w:rPr>
          <w:i/>
        </w:rPr>
        <w:t>Financial Management and Accountability Act</w:t>
      </w:r>
      <w:r w:rsidRPr="00695826">
        <w:t xml:space="preserve"> 1997, </w:t>
      </w:r>
      <w:r w:rsidRPr="001C2AF5">
        <w:rPr>
          <w:i/>
        </w:rPr>
        <w:t>Financial Management and Accountability Regulations</w:t>
      </w:r>
      <w:r w:rsidRPr="00695826">
        <w:t xml:space="preserve"> 1997, </w:t>
      </w:r>
      <w:r w:rsidRPr="001C2AF5">
        <w:rPr>
          <w:i/>
        </w:rPr>
        <w:t>Federal Financial Relations Act</w:t>
      </w:r>
      <w:r w:rsidRPr="00695826">
        <w:t xml:space="preserve"> 2009, </w:t>
      </w:r>
      <w:r w:rsidRPr="001C2AF5">
        <w:rPr>
          <w:i/>
        </w:rPr>
        <w:t>Commonwealth Authorities and Companies Act</w:t>
      </w:r>
      <w:r w:rsidRPr="00695826">
        <w:t xml:space="preserve"> 1997, </w:t>
      </w:r>
      <w:r>
        <w:t xml:space="preserve">and </w:t>
      </w:r>
      <w:r w:rsidRPr="001C2AF5">
        <w:rPr>
          <w:i/>
        </w:rPr>
        <w:t>Privacy Act</w:t>
      </w:r>
      <w:r w:rsidRPr="00695826">
        <w:t xml:space="preserve"> 1988.  </w:t>
      </w:r>
      <w:r>
        <w:t xml:space="preserve">Whilst the contents of these Commonwealth Acts and their subsidiary materials are instructive, they do not directly regulate grants issued by NTG agencies.   </w:t>
      </w:r>
    </w:p>
  </w:footnote>
  <w:footnote w:id="2">
    <w:p w:rsidR="009B2E70" w:rsidRDefault="009B2E70">
      <w:pPr>
        <w:pStyle w:val="FootnoteText"/>
      </w:pPr>
      <w:r>
        <w:rPr>
          <w:rStyle w:val="FootnoteReference"/>
        </w:rPr>
        <w:footnoteRef/>
      </w:r>
      <w:r>
        <w:t xml:space="preserve"> This Act draws much of its substance from the Commonwealth </w:t>
      </w:r>
      <w:r w:rsidRPr="00176B56">
        <w:rPr>
          <w:i/>
        </w:rPr>
        <w:t>Privacy Act</w:t>
      </w:r>
      <w:r>
        <w:t xml:space="preserve"> 1988.  </w:t>
      </w:r>
    </w:p>
  </w:footnote>
  <w:footnote w:id="3">
    <w:p w:rsidR="009B2E70" w:rsidRDefault="009B2E70">
      <w:pPr>
        <w:pStyle w:val="FootnoteText"/>
      </w:pPr>
      <w:r>
        <w:rPr>
          <w:rStyle w:val="FootnoteReference"/>
        </w:rPr>
        <w:footnoteRef/>
      </w:r>
      <w:r>
        <w:t xml:space="preserve"> These principles effectively mirror the Commonwealth’s National Privacy Principles established under the </w:t>
      </w:r>
      <w:r w:rsidRPr="009F344F">
        <w:rPr>
          <w:i/>
        </w:rPr>
        <w:t>Privacy Act</w:t>
      </w:r>
      <w:r>
        <w:t xml:space="preserve"> 1988 (Cth).</w:t>
      </w:r>
    </w:p>
  </w:footnote>
  <w:footnote w:id="4">
    <w:p w:rsidR="009B2E70" w:rsidRDefault="009B2E70">
      <w:pPr>
        <w:pStyle w:val="FootnoteText"/>
      </w:pPr>
      <w:r>
        <w:rPr>
          <w:rStyle w:val="FootnoteReference"/>
        </w:rPr>
        <w:footnoteRef/>
      </w:r>
      <w:r>
        <w:t xml:space="preserve"> </w:t>
      </w:r>
      <w:r w:rsidRPr="00B50D55">
        <w:t xml:space="preserve">The SCOA is an agreed list of account classifications for use by all Australian governments in their dealings with Not-for-Profit Organisations (NFP).  It itemises the names of account categories most likely to be required from NFPs to detail cash or accrual accounting information, and explains each in plain English.  </w:t>
      </w:r>
    </w:p>
  </w:footnote>
  <w:footnote w:id="5">
    <w:p w:rsidR="009B2E70" w:rsidRDefault="009B2E70" w:rsidP="00B50D55">
      <w:pPr>
        <w:pStyle w:val="FootnoteText"/>
      </w:pPr>
      <w:r>
        <w:rPr>
          <w:rStyle w:val="FootnoteReference"/>
        </w:rPr>
        <w:footnoteRef/>
      </w:r>
      <w:r>
        <w:t xml:space="preserve"> Note that the Council of Australian Governments (COAG) resolved in April 2010 that agencies of the Commonwealth and all States and Territories should fully adopt usage of the SCOA from 1 July 2011.  The aim of this agreement was to reduce the regulatory burden imposed on NFPs and improve public confidence in the NFP sector.  </w:t>
      </w:r>
    </w:p>
  </w:footnote>
  <w:footnote w:id="6">
    <w:p w:rsidR="009B2E70" w:rsidRDefault="009B2E70">
      <w:pPr>
        <w:pStyle w:val="FootnoteText"/>
      </w:pPr>
      <w:r>
        <w:rPr>
          <w:rStyle w:val="FootnoteReference"/>
        </w:rPr>
        <w:footnoteRef/>
      </w:r>
      <w:r>
        <w:t xml:space="preserve"> </w:t>
      </w:r>
      <w:r w:rsidRPr="00AB4024">
        <w:t>It is not necessary to conduct a formal gap analysis before establishing each grant project.   Such analysis should be performed at the strategic level of the organisation instead, to determine optimal allocation and integration of resources, and the variance between business requirements and curren</w:t>
      </w:r>
      <w:r>
        <w:t xml:space="preserve">t capabilities vis-à-vis </w:t>
      </w:r>
      <w:r w:rsidRPr="00EE42A7">
        <w:t>the NTCS grants</w:t>
      </w:r>
      <w:r w:rsidRPr="00AB4024">
        <w:t xml:space="preserve"> program in totality.</w:t>
      </w:r>
    </w:p>
  </w:footnote>
  <w:footnote w:id="7">
    <w:p w:rsidR="009B2E70" w:rsidRDefault="009B2E70">
      <w:pPr>
        <w:pStyle w:val="FootnoteText"/>
      </w:pPr>
      <w:r>
        <w:rPr>
          <w:rStyle w:val="FootnoteReference"/>
        </w:rPr>
        <w:footnoteRef/>
      </w:r>
      <w:r>
        <w:t xml:space="preserve"> Risk evaluation is discussed in further detail at 15.3, where it is of greater significance (in relation to considering the risks associated with issuing an ESP with a Funding Contract). </w:t>
      </w:r>
    </w:p>
  </w:footnote>
  <w:footnote w:id="8">
    <w:p w:rsidR="009B2E70" w:rsidRDefault="009B2E70">
      <w:pPr>
        <w:pStyle w:val="FootnoteText"/>
      </w:pPr>
      <w:r>
        <w:rPr>
          <w:rStyle w:val="FootnoteReference"/>
        </w:rPr>
        <w:footnoteRef/>
      </w:r>
      <w:r>
        <w:t xml:space="preserve"> For a fuller discussion of these methodologies, see </w:t>
      </w:r>
      <w:r w:rsidRPr="0056495B">
        <w:t xml:space="preserve">Australian National Audit Office (2010) </w:t>
      </w:r>
      <w:r w:rsidRPr="00AA278C">
        <w:rPr>
          <w:i/>
        </w:rPr>
        <w:t>Implementing Better Practice: Grants Administration</w:t>
      </w:r>
      <w:r w:rsidRPr="0056495B">
        <w:t>. Commonwealth of Australia, Canberra.</w:t>
      </w:r>
    </w:p>
  </w:footnote>
  <w:footnote w:id="9">
    <w:p w:rsidR="009B2E70" w:rsidRDefault="009B2E70">
      <w:pPr>
        <w:pStyle w:val="FootnoteText"/>
      </w:pPr>
      <w:r>
        <w:rPr>
          <w:rStyle w:val="FootnoteReference"/>
        </w:rPr>
        <w:footnoteRef/>
      </w:r>
      <w:r>
        <w:t xml:space="preserve"> </w:t>
      </w:r>
      <w:r w:rsidRPr="00EE42A7">
        <w:t>NTCS is</w:t>
      </w:r>
      <w:r>
        <w:t xml:space="preserve"> not required to capture account payment details from ESPs as this task is managed by other NTG agencies.  Likewise, it is the responsibility of ESPs to maintain their vendor ID.</w:t>
      </w:r>
    </w:p>
  </w:footnote>
  <w:footnote w:id="10">
    <w:p w:rsidR="009B2E70" w:rsidRDefault="009B2E70">
      <w:pPr>
        <w:pStyle w:val="FootnoteText"/>
      </w:pPr>
      <w:r>
        <w:rPr>
          <w:rStyle w:val="FootnoteReference"/>
        </w:rPr>
        <w:footnoteRef/>
      </w:r>
      <w:r>
        <w:t xml:space="preserve"> </w:t>
      </w:r>
      <w:r w:rsidRPr="008B22F1">
        <w:t xml:space="preserve">See </w:t>
      </w:r>
      <w:r w:rsidRPr="00EE42A7">
        <w:rPr>
          <w:i/>
        </w:rPr>
        <w:t>NTCS</w:t>
      </w:r>
      <w:r w:rsidRPr="008B22F1">
        <w:rPr>
          <w:i/>
        </w:rPr>
        <w:t xml:space="preserve"> Delegations</w:t>
      </w:r>
      <w:r>
        <w:t>, located on the Departmental Intranet, for current agency delegations.</w:t>
      </w:r>
    </w:p>
  </w:footnote>
  <w:footnote w:id="11">
    <w:p w:rsidR="009B2E70" w:rsidRDefault="009B2E70">
      <w:pPr>
        <w:pStyle w:val="FootnoteText"/>
      </w:pPr>
      <w:r>
        <w:rPr>
          <w:rStyle w:val="FootnoteReference"/>
        </w:rPr>
        <w:footnoteRef/>
      </w:r>
      <w:r>
        <w:t xml:space="preserve"> See </w:t>
      </w:r>
      <w:r w:rsidRPr="00EE42A7">
        <w:t xml:space="preserve">NTCS </w:t>
      </w:r>
      <w:r w:rsidRPr="00EE42A7">
        <w:rPr>
          <w:i/>
        </w:rPr>
        <w:t>Risk</w:t>
      </w:r>
      <w:r w:rsidRPr="00BB728B">
        <w:rPr>
          <w:i/>
        </w:rPr>
        <w:t xml:space="preserve"> Management Plan and Toolkit 2013</w:t>
      </w:r>
      <w:r>
        <w:t xml:space="preserve"> for full details of the agency’s policy with respect to the establishment, identification, analysis, treatment and evaluation of risks.</w:t>
      </w:r>
    </w:p>
  </w:footnote>
  <w:footnote w:id="12">
    <w:p w:rsidR="009B2E70" w:rsidRDefault="009B2E70">
      <w:pPr>
        <w:pStyle w:val="FootnoteText"/>
      </w:pPr>
      <w:r>
        <w:rPr>
          <w:rStyle w:val="FootnoteReference"/>
        </w:rPr>
        <w:footnoteRef/>
      </w:r>
      <w:r>
        <w:t xml:space="preserve"> </w:t>
      </w:r>
      <w:r w:rsidRPr="00FD26AC">
        <w:t>Note that this policy extends only to variations of those components of a Funding Contract which would change the fundamental nature of the service an ESP been contracted to provide.  NTCS reserves the right to unilaterally vary or update its standard terms and conditions of funding at any time, to accommodate changes in legislation, NTG-wide policy, and agency strategic intent.</w:t>
      </w:r>
      <w:r>
        <w:t xml:space="preserve">  </w:t>
      </w:r>
    </w:p>
  </w:footnote>
  <w:footnote w:id="13">
    <w:p w:rsidR="009B2E70" w:rsidRDefault="009B2E70">
      <w:pPr>
        <w:pStyle w:val="FootnoteText"/>
      </w:pPr>
      <w:r>
        <w:rPr>
          <w:rStyle w:val="FootnoteReference"/>
        </w:rPr>
        <w:footnoteRef/>
      </w:r>
      <w:r>
        <w:t xml:space="preserve"> For the purposes of the NTG, this is a person r</w:t>
      </w:r>
      <w:r w:rsidRPr="00B9443B">
        <w:t>egistered as a company auditor or public accountant in the NT</w:t>
      </w:r>
      <w:r>
        <w:t>,</w:t>
      </w:r>
      <w:r w:rsidRPr="00B9443B">
        <w:t xml:space="preserve"> and a member of the Institute of Cha</w:t>
      </w:r>
      <w:r>
        <w:t>rtered Accountants in Australia</w:t>
      </w:r>
      <w:r w:rsidRPr="00B9443B">
        <w:t xml:space="preserve"> or the Australian Society of Certified Practising Accountants</w:t>
      </w:r>
      <w:r>
        <w:t>.</w:t>
      </w:r>
    </w:p>
  </w:footnote>
  <w:footnote w:id="14">
    <w:p w:rsidR="009B2E70" w:rsidRDefault="009B2E70">
      <w:pPr>
        <w:pStyle w:val="FootnoteText"/>
      </w:pPr>
      <w:r>
        <w:rPr>
          <w:rStyle w:val="FootnoteReference"/>
        </w:rPr>
        <w:footnoteRef/>
      </w:r>
      <w:r>
        <w:t xml:space="preserve"> Organisations regulated by the ACNC for example, should not be required to submit an AFS </w:t>
      </w:r>
      <w:r w:rsidRPr="00B64B69">
        <w:t>unless the</w:t>
      </w:r>
      <w:r>
        <w:t>ir</w:t>
      </w:r>
      <w:r w:rsidRPr="00B64B69">
        <w:t xml:space="preserve"> granting activity is </w:t>
      </w:r>
      <w:r>
        <w:t xml:space="preserve">of a </w:t>
      </w:r>
      <w:r w:rsidRPr="00B64B69">
        <w:t>higher risk</w:t>
      </w:r>
      <w:r>
        <w:t xml:space="preserve"> than their ordinary activities</w:t>
      </w:r>
      <w:r w:rsidRPr="00B64B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1A" w:rsidRPr="005177DB" w:rsidRDefault="00815B1A" w:rsidP="005177DB">
    <w:pPr>
      <w:pStyle w:val="Header"/>
      <w:shd w:val="clear" w:color="auto" w:fill="FBE4D5" w:themeFill="accent2" w:themeFillTint="33"/>
      <w:jc w:val="right"/>
      <w:cnfStyle w:val="101000000000" w:firstRow="1" w:lastRow="0" w:firstColumn="1" w:lastColumn="0" w:oddVBand="0" w:evenVBand="0" w:oddHBand="0" w:evenHBand="0" w:firstRowFirstColumn="0" w:firstRowLastColumn="0" w:lastRowFirstColumn="0" w:lastRowLastColumn="0"/>
      <w:rPr>
        <w:b/>
        <w:color w:val="CB6015"/>
      </w:rPr>
    </w:pPr>
    <w:r w:rsidRPr="005177DB">
      <w:rPr>
        <w:b/>
        <w:color w:val="CB6015"/>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600" w:firstRow="0" w:lastRow="0" w:firstColumn="0" w:lastColumn="0" w:noHBand="1" w:noVBand="1"/>
    </w:tblPr>
    <w:tblGrid>
      <w:gridCol w:w="357"/>
      <w:gridCol w:w="8885"/>
    </w:tblGrid>
    <w:tr w:rsidR="009B2E70" w:rsidTr="009B2E70">
      <w:trPr>
        <w:trHeight w:val="1418"/>
        <w:tblHeader/>
      </w:trPr>
      <w:tc>
        <w:tcPr>
          <w:tcW w:w="357" w:type="dxa"/>
          <w:tcBorders>
            <w:top w:val="nil"/>
            <w:left w:val="nil"/>
            <w:bottom w:val="nil"/>
            <w:right w:val="nil"/>
          </w:tcBorders>
          <w:hideMark/>
        </w:tcPr>
        <w:p w:rsidR="009B2E70" w:rsidRDefault="009B2E70" w:rsidP="009B2E70">
          <w:pPr>
            <w:pStyle w:val="Header"/>
            <w:rPr>
              <w:caps/>
            </w:rPr>
          </w:pPr>
          <w:r>
            <w:rPr>
              <w:caps/>
              <w:noProof/>
            </w:rPr>
            <mc:AlternateContent>
              <mc:Choice Requires="wps">
                <w:drawing>
                  <wp:anchor distT="0" distB="0" distL="114300" distR="114300" simplePos="0" relativeHeight="251671552" behindDoc="0" locked="0" layoutInCell="1" allowOverlap="1" wp14:anchorId="228683A5" wp14:editId="1D75228A">
                    <wp:simplePos x="0" y="0"/>
                    <wp:positionH relativeFrom="column">
                      <wp:posOffset>-121286</wp:posOffset>
                    </wp:positionH>
                    <wp:positionV relativeFrom="paragraph">
                      <wp:posOffset>666750</wp:posOffset>
                    </wp:positionV>
                    <wp:extent cx="3819525" cy="4670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7067"/>
                            </a:xfrm>
                            <a:prstGeom prst="rect">
                              <a:avLst/>
                            </a:prstGeom>
                            <a:noFill/>
                            <a:ln w="9525">
                              <a:noFill/>
                              <a:miter lim="800000"/>
                              <a:headEnd/>
                              <a:tailEnd/>
                            </a:ln>
                          </wps:spPr>
                          <wps:txbx>
                            <w:txbxContent>
                              <w:p w:rsidR="009B2E70" w:rsidRDefault="009B2E70" w:rsidP="009B2E70">
                                <w:pPr>
                                  <w:pStyle w:val="Departmentof"/>
                                </w:pPr>
                                <w:r>
                                  <w:t>Department of the</w:t>
                                </w:r>
                              </w:p>
                              <w:p w:rsidR="009B2E70" w:rsidRDefault="009B2E70" w:rsidP="009B2E70">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1" type="#_x0000_t202" style="position:absolute;margin-left:-9.55pt;margin-top:52.5pt;width:300.75pt;height:36.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" filled="f" stroked="f">
                    <v:textbox>
                      <w:txbxContent>
                        <w:p w:rsidR="009B2E70" w:rsidRDefault="009B2E70" w:rsidP="009B2E70">
                          <w:pPr>
                            <w:pStyle w:val="Departmentof"/>
                          </w:pPr>
                          <w:r>
                            <w:t>Department of the</w:t>
                          </w:r>
                        </w:p>
                        <w:p w:rsidR="009B2E70" w:rsidRDefault="009B2E70" w:rsidP="009B2E70">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v:textbox>
                  </v:shape>
                </w:pict>
              </mc:Fallback>
            </mc:AlternateContent>
          </w:r>
          <w:r>
            <w:rPr>
              <w:caps/>
              <w:noProof/>
            </w:rPr>
            <mc:AlternateContent>
              <mc:Choice Requires="wps">
                <w:drawing>
                  <wp:anchor distT="0" distB="0" distL="114300" distR="114300" simplePos="0" relativeHeight="251672576" behindDoc="0" locked="0" layoutInCell="1" allowOverlap="1" wp14:anchorId="31BADA8E" wp14:editId="685F4BEE">
                    <wp:simplePos x="0" y="0"/>
                    <wp:positionH relativeFrom="column">
                      <wp:posOffset>-178878</wp:posOffset>
                    </wp:positionH>
                    <wp:positionV relativeFrom="paragraph">
                      <wp:posOffset>-10633</wp:posOffset>
                    </wp:positionV>
                    <wp:extent cx="93345" cy="500325"/>
                    <wp:effectExtent l="0" t="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00325"/>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 o:spid="_x0000_s1026" style="position:absolute;margin-left:-14.1pt;margin-top:-.85pt;width:7.35pt;height:3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" fillcolor="black [3213]" stroked="f" strokeweight="2pt"/>
                </w:pict>
              </mc:Fallback>
            </mc:AlternateContent>
          </w:r>
          <w:r>
            <w:rPr>
              <w:caps/>
              <w:noProof/>
            </w:rPr>
            <mc:AlternateContent>
              <mc:Choice Requires="wps">
                <w:drawing>
                  <wp:anchor distT="0" distB="0" distL="114300" distR="114300" simplePos="0" relativeHeight="251673600" behindDoc="0" locked="0" layoutInCell="1" allowOverlap="1" wp14:anchorId="2AF0DB34" wp14:editId="75162963">
                    <wp:simplePos x="0" y="0"/>
                    <wp:positionH relativeFrom="column">
                      <wp:posOffset>-178878</wp:posOffset>
                    </wp:positionH>
                    <wp:positionV relativeFrom="paragraph">
                      <wp:posOffset>486209</wp:posOffset>
                    </wp:positionV>
                    <wp:extent cx="93345" cy="549950"/>
                    <wp:effectExtent l="0" t="0" r="1905"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49950"/>
                            </a:xfrm>
                            <a:prstGeom prst="rect">
                              <a:avLst/>
                            </a:prstGeom>
                            <a:solidFill>
                              <a:srgbClr val="CB6015"/>
                            </a:solidFill>
                            <a:ln>
                              <a:noFill/>
                            </a:ln>
                            <a:extLst/>
                          </wps:spPr>
                          <wps:bodyPr rot="0" vert="horz" wrap="square" lIns="91440" tIns="45720" rIns="91440" bIns="45720" anchor="ctr" anchorCtr="0" upright="1">
                            <a:noAutofit/>
                          </wps:bodyPr>
                        </wps:wsp>
                      </a:graphicData>
                    </a:graphic>
                  </wp:anchor>
                </w:drawing>
              </mc:Choice>
              <mc:Fallback>
                <w:pict>
                  <v:rect id="Rectangle 6" o:spid="_x0000_s1026" style="position:absolute;margin-left:-14.1pt;margin-top:38.3pt;width:7.35pt;height:4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" fillcolor="#cb6015" stroked="f"/>
                </w:pict>
              </mc:Fallback>
            </mc:AlternateContent>
          </w:r>
        </w:p>
      </w:tc>
      <w:tc>
        <w:tcPr>
          <w:tcW w:w="8885" w:type="dxa"/>
          <w:tcBorders>
            <w:top w:val="nil"/>
            <w:left w:val="nil"/>
            <w:bottom w:val="nil"/>
            <w:right w:val="nil"/>
          </w:tcBorders>
          <w:tcMar>
            <w:top w:w="0" w:type="dxa"/>
            <w:left w:w="0" w:type="dxa"/>
            <w:bottom w:w="0" w:type="dxa"/>
            <w:right w:w="108" w:type="dxa"/>
          </w:tcMar>
          <w:vAlign w:val="bottom"/>
          <w:hideMark/>
        </w:tcPr>
        <w:p w:rsidR="009B2E70" w:rsidRPr="00171AF5" w:rsidRDefault="009B2E70" w:rsidP="009B2E70">
          <w:pPr>
            <w:pStyle w:val="Departmentof"/>
            <w:rPr>
              <w:rFonts w:ascii="Lato Black" w:hAnsi="Lato Black"/>
            </w:rPr>
          </w:pPr>
        </w:p>
      </w:tc>
    </w:tr>
  </w:tbl>
  <w:p w:rsidR="009B2E70" w:rsidRDefault="009B2E70" w:rsidP="009B2E70">
    <w:pPr>
      <w:pStyle w:val="Header"/>
      <w:tabs>
        <w:tab w:val="clear" w:pos="4513"/>
        <w:tab w:val="clear" w:pos="9026"/>
        <w:tab w:val="left" w:pos="1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70" w:rsidRDefault="009B2E70" w:rsidP="009B2E70">
    <w:pPr>
      <w:pStyle w:val="Header"/>
      <w:tabs>
        <w:tab w:val="clear" w:pos="4513"/>
        <w:tab w:val="clear" w:pos="9026"/>
        <w:tab w:val="left" w:pos="165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DB" w:rsidRPr="005177DB" w:rsidRDefault="005177DB" w:rsidP="005177DB">
    <w:pPr>
      <w:pStyle w:val="Header"/>
      <w:shd w:val="clear" w:color="auto" w:fill="FBE4D5" w:themeFill="accent2" w:themeFillTint="33"/>
      <w:jc w:val="right"/>
      <w:cnfStyle w:val="101000000000" w:firstRow="1" w:lastRow="0" w:firstColumn="1" w:lastColumn="0" w:oddVBand="0" w:evenVBand="0" w:oddHBand="0" w:evenHBand="0" w:firstRowFirstColumn="0" w:firstRowLastColumn="0" w:lastRowFirstColumn="0" w:lastRowLastColumn="0"/>
      <w:rPr>
        <w:b/>
        <w:color w:val="CB6015"/>
      </w:rPr>
    </w:pPr>
    <w:r w:rsidRPr="005177DB">
      <w:rPr>
        <w:b/>
        <w:color w:val="CB6015"/>
      </w:rPr>
      <w:t>Grants Management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2B1"/>
    <w:multiLevelType w:val="hybridMultilevel"/>
    <w:tmpl w:val="D7602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C33FB0"/>
    <w:multiLevelType w:val="hybridMultilevel"/>
    <w:tmpl w:val="01BE2364"/>
    <w:lvl w:ilvl="0" w:tplc="EA8EEE3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A1D28"/>
    <w:multiLevelType w:val="hybridMultilevel"/>
    <w:tmpl w:val="A7BC7A48"/>
    <w:lvl w:ilvl="0" w:tplc="0CE4CE0E">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443E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D6261F"/>
    <w:multiLevelType w:val="multilevel"/>
    <w:tmpl w:val="58947A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B036B8D"/>
    <w:multiLevelType w:val="hybridMultilevel"/>
    <w:tmpl w:val="5F9AF7AA"/>
    <w:lvl w:ilvl="0" w:tplc="AA6C7A9E">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AA3A9F"/>
    <w:multiLevelType w:val="multilevel"/>
    <w:tmpl w:val="88FEF57C"/>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5D34E56"/>
    <w:multiLevelType w:val="hybridMultilevel"/>
    <w:tmpl w:val="D7602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061C17"/>
    <w:multiLevelType w:val="hybridMultilevel"/>
    <w:tmpl w:val="9938A9EC"/>
    <w:lvl w:ilvl="0" w:tplc="48A08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8E48FE"/>
    <w:multiLevelType w:val="hybridMultilevel"/>
    <w:tmpl w:val="778CC9A0"/>
    <w:lvl w:ilvl="0" w:tplc="C09A75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A784F51"/>
    <w:multiLevelType w:val="multilevel"/>
    <w:tmpl w:val="CDCA5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7413B39"/>
    <w:multiLevelType w:val="multilevel"/>
    <w:tmpl w:val="4E0EDB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7421984"/>
    <w:multiLevelType w:val="hybridMultilevel"/>
    <w:tmpl w:val="76AAE3B0"/>
    <w:lvl w:ilvl="0" w:tplc="0ABE6484">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3"/>
  </w:num>
  <w:num w:numId="6">
    <w:abstractNumId w:val="1"/>
  </w:num>
  <w:num w:numId="7">
    <w:abstractNumId w:val="5"/>
  </w:num>
  <w:num w:numId="8">
    <w:abstractNumId w:val="12"/>
  </w:num>
  <w:num w:numId="9">
    <w:abstractNumId w:val="2"/>
  </w:num>
  <w:num w:numId="10">
    <w:abstractNumId w:val="8"/>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78"/>
    <w:rsid w:val="00001FBB"/>
    <w:rsid w:val="00002699"/>
    <w:rsid w:val="000027B3"/>
    <w:rsid w:val="00004739"/>
    <w:rsid w:val="00004BB8"/>
    <w:rsid w:val="00005625"/>
    <w:rsid w:val="00007896"/>
    <w:rsid w:val="0001089F"/>
    <w:rsid w:val="00011ADF"/>
    <w:rsid w:val="00011C58"/>
    <w:rsid w:val="00012CB7"/>
    <w:rsid w:val="00014CE4"/>
    <w:rsid w:val="00015C8A"/>
    <w:rsid w:val="00015D98"/>
    <w:rsid w:val="00016797"/>
    <w:rsid w:val="0002073B"/>
    <w:rsid w:val="00022460"/>
    <w:rsid w:val="00022F83"/>
    <w:rsid w:val="00026E0E"/>
    <w:rsid w:val="0002704A"/>
    <w:rsid w:val="000277F2"/>
    <w:rsid w:val="00027EEE"/>
    <w:rsid w:val="0003029E"/>
    <w:rsid w:val="00030320"/>
    <w:rsid w:val="00030FFB"/>
    <w:rsid w:val="00031B58"/>
    <w:rsid w:val="00032BDE"/>
    <w:rsid w:val="00033B04"/>
    <w:rsid w:val="00033BE9"/>
    <w:rsid w:val="00037072"/>
    <w:rsid w:val="000374CA"/>
    <w:rsid w:val="00042049"/>
    <w:rsid w:val="000520A4"/>
    <w:rsid w:val="000523BA"/>
    <w:rsid w:val="00060013"/>
    <w:rsid w:val="000601DB"/>
    <w:rsid w:val="00062AB6"/>
    <w:rsid w:val="00064AFC"/>
    <w:rsid w:val="000661DE"/>
    <w:rsid w:val="00070823"/>
    <w:rsid w:val="0007362A"/>
    <w:rsid w:val="00076680"/>
    <w:rsid w:val="00077407"/>
    <w:rsid w:val="00082869"/>
    <w:rsid w:val="00082E7B"/>
    <w:rsid w:val="00083469"/>
    <w:rsid w:val="00084E80"/>
    <w:rsid w:val="00085669"/>
    <w:rsid w:val="00091989"/>
    <w:rsid w:val="00091DF8"/>
    <w:rsid w:val="000936C7"/>
    <w:rsid w:val="0009375C"/>
    <w:rsid w:val="00094887"/>
    <w:rsid w:val="00096A00"/>
    <w:rsid w:val="00096F2F"/>
    <w:rsid w:val="00097FC2"/>
    <w:rsid w:val="000A0B9F"/>
    <w:rsid w:val="000A4212"/>
    <w:rsid w:val="000A5268"/>
    <w:rsid w:val="000B112E"/>
    <w:rsid w:val="000B4F4C"/>
    <w:rsid w:val="000B5EEE"/>
    <w:rsid w:val="000B68A7"/>
    <w:rsid w:val="000B77AE"/>
    <w:rsid w:val="000C0ECC"/>
    <w:rsid w:val="000C4A92"/>
    <w:rsid w:val="000C72D2"/>
    <w:rsid w:val="000D085C"/>
    <w:rsid w:val="000D0C20"/>
    <w:rsid w:val="000D1CB4"/>
    <w:rsid w:val="000D3FD6"/>
    <w:rsid w:val="000E0213"/>
    <w:rsid w:val="000E03C2"/>
    <w:rsid w:val="000E30FD"/>
    <w:rsid w:val="000E31F9"/>
    <w:rsid w:val="000E37BF"/>
    <w:rsid w:val="000E57D3"/>
    <w:rsid w:val="000F08E5"/>
    <w:rsid w:val="000F1E58"/>
    <w:rsid w:val="000F687A"/>
    <w:rsid w:val="000F72EA"/>
    <w:rsid w:val="00102A7A"/>
    <w:rsid w:val="0010611E"/>
    <w:rsid w:val="00107591"/>
    <w:rsid w:val="001077E5"/>
    <w:rsid w:val="00110C8E"/>
    <w:rsid w:val="00114D2B"/>
    <w:rsid w:val="0011613A"/>
    <w:rsid w:val="00116FEF"/>
    <w:rsid w:val="00117D03"/>
    <w:rsid w:val="001209AD"/>
    <w:rsid w:val="00122D96"/>
    <w:rsid w:val="00124215"/>
    <w:rsid w:val="00124565"/>
    <w:rsid w:val="0013288B"/>
    <w:rsid w:val="0013307E"/>
    <w:rsid w:val="0013621D"/>
    <w:rsid w:val="001365C8"/>
    <w:rsid w:val="001437BA"/>
    <w:rsid w:val="0014493B"/>
    <w:rsid w:val="00144AA6"/>
    <w:rsid w:val="00146204"/>
    <w:rsid w:val="00147252"/>
    <w:rsid w:val="00147BA5"/>
    <w:rsid w:val="001516EF"/>
    <w:rsid w:val="00153C05"/>
    <w:rsid w:val="001553DE"/>
    <w:rsid w:val="00160D61"/>
    <w:rsid w:val="00160E3B"/>
    <w:rsid w:val="001628F2"/>
    <w:rsid w:val="00163027"/>
    <w:rsid w:val="00166BA8"/>
    <w:rsid w:val="00170007"/>
    <w:rsid w:val="00170C1A"/>
    <w:rsid w:val="001711D3"/>
    <w:rsid w:val="0017277A"/>
    <w:rsid w:val="00173404"/>
    <w:rsid w:val="001735F4"/>
    <w:rsid w:val="00176B56"/>
    <w:rsid w:val="0018240D"/>
    <w:rsid w:val="001838A2"/>
    <w:rsid w:val="00192EC7"/>
    <w:rsid w:val="0019401A"/>
    <w:rsid w:val="00195100"/>
    <w:rsid w:val="0019570E"/>
    <w:rsid w:val="001A2D37"/>
    <w:rsid w:val="001A3093"/>
    <w:rsid w:val="001A335C"/>
    <w:rsid w:val="001A339D"/>
    <w:rsid w:val="001A3D01"/>
    <w:rsid w:val="001A3FC0"/>
    <w:rsid w:val="001A5289"/>
    <w:rsid w:val="001A5639"/>
    <w:rsid w:val="001B1252"/>
    <w:rsid w:val="001B19F8"/>
    <w:rsid w:val="001B33B2"/>
    <w:rsid w:val="001B3B54"/>
    <w:rsid w:val="001B45ED"/>
    <w:rsid w:val="001B56CE"/>
    <w:rsid w:val="001B6FF8"/>
    <w:rsid w:val="001B7173"/>
    <w:rsid w:val="001B726E"/>
    <w:rsid w:val="001C0FB0"/>
    <w:rsid w:val="001C2AF5"/>
    <w:rsid w:val="001C3CC1"/>
    <w:rsid w:val="001C41A4"/>
    <w:rsid w:val="001C4576"/>
    <w:rsid w:val="001C4DC4"/>
    <w:rsid w:val="001C6508"/>
    <w:rsid w:val="001D1B3A"/>
    <w:rsid w:val="001D3BFB"/>
    <w:rsid w:val="001D40F6"/>
    <w:rsid w:val="001D49DC"/>
    <w:rsid w:val="001D5737"/>
    <w:rsid w:val="001D5A19"/>
    <w:rsid w:val="001D5AAA"/>
    <w:rsid w:val="001D6AAF"/>
    <w:rsid w:val="001D7EFA"/>
    <w:rsid w:val="001E0698"/>
    <w:rsid w:val="001E1A37"/>
    <w:rsid w:val="001E1C44"/>
    <w:rsid w:val="001E3F64"/>
    <w:rsid w:val="001E5BBE"/>
    <w:rsid w:val="001E6B1E"/>
    <w:rsid w:val="001E7C07"/>
    <w:rsid w:val="001F00A0"/>
    <w:rsid w:val="001F1298"/>
    <w:rsid w:val="001F2809"/>
    <w:rsid w:val="001F3D40"/>
    <w:rsid w:val="001F3FC7"/>
    <w:rsid w:val="001F4D43"/>
    <w:rsid w:val="001F4F0A"/>
    <w:rsid w:val="001F577E"/>
    <w:rsid w:val="001F6E8D"/>
    <w:rsid w:val="0020144D"/>
    <w:rsid w:val="00204593"/>
    <w:rsid w:val="00206B6A"/>
    <w:rsid w:val="00207255"/>
    <w:rsid w:val="0020747C"/>
    <w:rsid w:val="00207EC9"/>
    <w:rsid w:val="00210E0C"/>
    <w:rsid w:val="00211E6D"/>
    <w:rsid w:val="002135FF"/>
    <w:rsid w:val="0021547C"/>
    <w:rsid w:val="00216919"/>
    <w:rsid w:val="00217A30"/>
    <w:rsid w:val="0022289F"/>
    <w:rsid w:val="00222923"/>
    <w:rsid w:val="00222B01"/>
    <w:rsid w:val="002231CD"/>
    <w:rsid w:val="00223C9C"/>
    <w:rsid w:val="002273BA"/>
    <w:rsid w:val="00230963"/>
    <w:rsid w:val="00231027"/>
    <w:rsid w:val="00235F1F"/>
    <w:rsid w:val="00237579"/>
    <w:rsid w:val="00241049"/>
    <w:rsid w:val="0024322A"/>
    <w:rsid w:val="00243639"/>
    <w:rsid w:val="002436FB"/>
    <w:rsid w:val="002458F7"/>
    <w:rsid w:val="002469BA"/>
    <w:rsid w:val="00254439"/>
    <w:rsid w:val="00256FD4"/>
    <w:rsid w:val="00257AF5"/>
    <w:rsid w:val="00260DEE"/>
    <w:rsid w:val="0026317C"/>
    <w:rsid w:val="0026380B"/>
    <w:rsid w:val="00264856"/>
    <w:rsid w:val="00264E10"/>
    <w:rsid w:val="00265139"/>
    <w:rsid w:val="00265E0D"/>
    <w:rsid w:val="00270012"/>
    <w:rsid w:val="00270065"/>
    <w:rsid w:val="00272521"/>
    <w:rsid w:val="002747CE"/>
    <w:rsid w:val="00274AB3"/>
    <w:rsid w:val="002760F0"/>
    <w:rsid w:val="00281672"/>
    <w:rsid w:val="00282619"/>
    <w:rsid w:val="002828FC"/>
    <w:rsid w:val="00283DC7"/>
    <w:rsid w:val="00286E54"/>
    <w:rsid w:val="00292EC3"/>
    <w:rsid w:val="00293C52"/>
    <w:rsid w:val="00294E5E"/>
    <w:rsid w:val="002957B3"/>
    <w:rsid w:val="00295C94"/>
    <w:rsid w:val="00296146"/>
    <w:rsid w:val="002A0C77"/>
    <w:rsid w:val="002A102F"/>
    <w:rsid w:val="002A21B0"/>
    <w:rsid w:val="002A5F5D"/>
    <w:rsid w:val="002A62C3"/>
    <w:rsid w:val="002A652C"/>
    <w:rsid w:val="002B0EC6"/>
    <w:rsid w:val="002B2E49"/>
    <w:rsid w:val="002B2FA4"/>
    <w:rsid w:val="002B58FD"/>
    <w:rsid w:val="002B6623"/>
    <w:rsid w:val="002C454F"/>
    <w:rsid w:val="002C7AE3"/>
    <w:rsid w:val="002E1E0D"/>
    <w:rsid w:val="002E2EF5"/>
    <w:rsid w:val="002E4C78"/>
    <w:rsid w:val="002E5351"/>
    <w:rsid w:val="002E5EC3"/>
    <w:rsid w:val="002E720C"/>
    <w:rsid w:val="002F0258"/>
    <w:rsid w:val="002F0900"/>
    <w:rsid w:val="002F24C5"/>
    <w:rsid w:val="002F32A2"/>
    <w:rsid w:val="002F5C57"/>
    <w:rsid w:val="002F79E4"/>
    <w:rsid w:val="00300760"/>
    <w:rsid w:val="00301632"/>
    <w:rsid w:val="00301DB7"/>
    <w:rsid w:val="00302512"/>
    <w:rsid w:val="00302643"/>
    <w:rsid w:val="003028A7"/>
    <w:rsid w:val="00304649"/>
    <w:rsid w:val="00306099"/>
    <w:rsid w:val="0030661B"/>
    <w:rsid w:val="00312E4C"/>
    <w:rsid w:val="00313FF1"/>
    <w:rsid w:val="0032006D"/>
    <w:rsid w:val="00320570"/>
    <w:rsid w:val="00321486"/>
    <w:rsid w:val="00321CF4"/>
    <w:rsid w:val="00322628"/>
    <w:rsid w:val="00324107"/>
    <w:rsid w:val="003242CE"/>
    <w:rsid w:val="003276B3"/>
    <w:rsid w:val="00331598"/>
    <w:rsid w:val="0033239E"/>
    <w:rsid w:val="00332704"/>
    <w:rsid w:val="00337862"/>
    <w:rsid w:val="00341D84"/>
    <w:rsid w:val="0034224B"/>
    <w:rsid w:val="00342309"/>
    <w:rsid w:val="00342817"/>
    <w:rsid w:val="003456EA"/>
    <w:rsid w:val="00345E90"/>
    <w:rsid w:val="00346A1E"/>
    <w:rsid w:val="00346E57"/>
    <w:rsid w:val="0035047C"/>
    <w:rsid w:val="00350976"/>
    <w:rsid w:val="00350D04"/>
    <w:rsid w:val="00350D5F"/>
    <w:rsid w:val="00352536"/>
    <w:rsid w:val="0035641C"/>
    <w:rsid w:val="00356877"/>
    <w:rsid w:val="00356BCB"/>
    <w:rsid w:val="00357508"/>
    <w:rsid w:val="00357FE9"/>
    <w:rsid w:val="00360213"/>
    <w:rsid w:val="00366CFE"/>
    <w:rsid w:val="00366EF4"/>
    <w:rsid w:val="00367C05"/>
    <w:rsid w:val="00373629"/>
    <w:rsid w:val="00374988"/>
    <w:rsid w:val="003749B1"/>
    <w:rsid w:val="00375662"/>
    <w:rsid w:val="00375D76"/>
    <w:rsid w:val="00380DDD"/>
    <w:rsid w:val="003817F4"/>
    <w:rsid w:val="0038470A"/>
    <w:rsid w:val="003851A7"/>
    <w:rsid w:val="00386DD2"/>
    <w:rsid w:val="0038799D"/>
    <w:rsid w:val="00387A16"/>
    <w:rsid w:val="00390B4F"/>
    <w:rsid w:val="00390D98"/>
    <w:rsid w:val="00391B73"/>
    <w:rsid w:val="00392ABA"/>
    <w:rsid w:val="00393ED3"/>
    <w:rsid w:val="00397685"/>
    <w:rsid w:val="00397698"/>
    <w:rsid w:val="003A3D78"/>
    <w:rsid w:val="003A69D2"/>
    <w:rsid w:val="003A6BDE"/>
    <w:rsid w:val="003A7D95"/>
    <w:rsid w:val="003B2F61"/>
    <w:rsid w:val="003B3005"/>
    <w:rsid w:val="003B3013"/>
    <w:rsid w:val="003B5271"/>
    <w:rsid w:val="003B534B"/>
    <w:rsid w:val="003B6309"/>
    <w:rsid w:val="003C097E"/>
    <w:rsid w:val="003C3054"/>
    <w:rsid w:val="003C30E9"/>
    <w:rsid w:val="003C3ADE"/>
    <w:rsid w:val="003C4BFF"/>
    <w:rsid w:val="003C7605"/>
    <w:rsid w:val="003D62A2"/>
    <w:rsid w:val="003D759C"/>
    <w:rsid w:val="003E0941"/>
    <w:rsid w:val="003E2F13"/>
    <w:rsid w:val="003E3AE6"/>
    <w:rsid w:val="003E41B7"/>
    <w:rsid w:val="003E53FF"/>
    <w:rsid w:val="003E7149"/>
    <w:rsid w:val="003E7716"/>
    <w:rsid w:val="003E7746"/>
    <w:rsid w:val="003E7B7B"/>
    <w:rsid w:val="003F02E5"/>
    <w:rsid w:val="003F05B0"/>
    <w:rsid w:val="003F1398"/>
    <w:rsid w:val="003F1ACC"/>
    <w:rsid w:val="003F352D"/>
    <w:rsid w:val="003F5D88"/>
    <w:rsid w:val="003F6769"/>
    <w:rsid w:val="003F72FF"/>
    <w:rsid w:val="003F7DBE"/>
    <w:rsid w:val="00400FB4"/>
    <w:rsid w:val="00401D8E"/>
    <w:rsid w:val="004027B6"/>
    <w:rsid w:val="004054AD"/>
    <w:rsid w:val="00407135"/>
    <w:rsid w:val="00407871"/>
    <w:rsid w:val="00411156"/>
    <w:rsid w:val="0041245A"/>
    <w:rsid w:val="00414055"/>
    <w:rsid w:val="00415340"/>
    <w:rsid w:val="004155E8"/>
    <w:rsid w:val="00417C8A"/>
    <w:rsid w:val="0042147F"/>
    <w:rsid w:val="00421DBA"/>
    <w:rsid w:val="0042213F"/>
    <w:rsid w:val="00423612"/>
    <w:rsid w:val="004267C0"/>
    <w:rsid w:val="00427920"/>
    <w:rsid w:val="004301B7"/>
    <w:rsid w:val="00430B57"/>
    <w:rsid w:val="004321FA"/>
    <w:rsid w:val="00432388"/>
    <w:rsid w:val="004339DC"/>
    <w:rsid w:val="004346A6"/>
    <w:rsid w:val="004378A8"/>
    <w:rsid w:val="004400EF"/>
    <w:rsid w:val="00442AE9"/>
    <w:rsid w:val="0044368D"/>
    <w:rsid w:val="004445C2"/>
    <w:rsid w:val="00446C57"/>
    <w:rsid w:val="00446EB8"/>
    <w:rsid w:val="004500B3"/>
    <w:rsid w:val="00450828"/>
    <w:rsid w:val="00450B74"/>
    <w:rsid w:val="0045338A"/>
    <w:rsid w:val="00453BFB"/>
    <w:rsid w:val="004555E9"/>
    <w:rsid w:val="00457247"/>
    <w:rsid w:val="0046135B"/>
    <w:rsid w:val="00461CA9"/>
    <w:rsid w:val="00461ECA"/>
    <w:rsid w:val="00463987"/>
    <w:rsid w:val="004641CB"/>
    <w:rsid w:val="0046622F"/>
    <w:rsid w:val="00470A25"/>
    <w:rsid w:val="004718D8"/>
    <w:rsid w:val="00471B11"/>
    <w:rsid w:val="00474620"/>
    <w:rsid w:val="00476E7B"/>
    <w:rsid w:val="0047787A"/>
    <w:rsid w:val="004805D6"/>
    <w:rsid w:val="00480AD5"/>
    <w:rsid w:val="00482EB3"/>
    <w:rsid w:val="004832A5"/>
    <w:rsid w:val="00484376"/>
    <w:rsid w:val="00486C7E"/>
    <w:rsid w:val="00490A49"/>
    <w:rsid w:val="0049316B"/>
    <w:rsid w:val="00496427"/>
    <w:rsid w:val="0049745D"/>
    <w:rsid w:val="004A0490"/>
    <w:rsid w:val="004A1017"/>
    <w:rsid w:val="004A163F"/>
    <w:rsid w:val="004A448E"/>
    <w:rsid w:val="004A51A7"/>
    <w:rsid w:val="004A5D57"/>
    <w:rsid w:val="004A5E9E"/>
    <w:rsid w:val="004B01CB"/>
    <w:rsid w:val="004B0298"/>
    <w:rsid w:val="004B1717"/>
    <w:rsid w:val="004B2DC9"/>
    <w:rsid w:val="004B5D9F"/>
    <w:rsid w:val="004B6250"/>
    <w:rsid w:val="004C0031"/>
    <w:rsid w:val="004C06F8"/>
    <w:rsid w:val="004C18D5"/>
    <w:rsid w:val="004C1CDF"/>
    <w:rsid w:val="004C2522"/>
    <w:rsid w:val="004C3E88"/>
    <w:rsid w:val="004D2E53"/>
    <w:rsid w:val="004D3E68"/>
    <w:rsid w:val="004D414B"/>
    <w:rsid w:val="004D59C4"/>
    <w:rsid w:val="004D62DC"/>
    <w:rsid w:val="004D7623"/>
    <w:rsid w:val="004D7F67"/>
    <w:rsid w:val="004E02E7"/>
    <w:rsid w:val="004E0376"/>
    <w:rsid w:val="004E050C"/>
    <w:rsid w:val="004E2050"/>
    <w:rsid w:val="004E540B"/>
    <w:rsid w:val="004E59D0"/>
    <w:rsid w:val="004E5A9E"/>
    <w:rsid w:val="004E6E04"/>
    <w:rsid w:val="004E6F91"/>
    <w:rsid w:val="004E71C5"/>
    <w:rsid w:val="004F49F3"/>
    <w:rsid w:val="004F5A93"/>
    <w:rsid w:val="004F7A6E"/>
    <w:rsid w:val="004F7F0E"/>
    <w:rsid w:val="00501D5C"/>
    <w:rsid w:val="00502D34"/>
    <w:rsid w:val="00504422"/>
    <w:rsid w:val="00505265"/>
    <w:rsid w:val="005053B9"/>
    <w:rsid w:val="0050549D"/>
    <w:rsid w:val="00507DEA"/>
    <w:rsid w:val="00510C73"/>
    <w:rsid w:val="00511153"/>
    <w:rsid w:val="00511BF6"/>
    <w:rsid w:val="00513397"/>
    <w:rsid w:val="00513C55"/>
    <w:rsid w:val="00514175"/>
    <w:rsid w:val="00514281"/>
    <w:rsid w:val="005177DB"/>
    <w:rsid w:val="00523475"/>
    <w:rsid w:val="005243DE"/>
    <w:rsid w:val="00530CBD"/>
    <w:rsid w:val="00531CD7"/>
    <w:rsid w:val="005322BF"/>
    <w:rsid w:val="00532A5B"/>
    <w:rsid w:val="00532D73"/>
    <w:rsid w:val="00533827"/>
    <w:rsid w:val="00534803"/>
    <w:rsid w:val="00534C36"/>
    <w:rsid w:val="00536BDB"/>
    <w:rsid w:val="005420BE"/>
    <w:rsid w:val="00543578"/>
    <w:rsid w:val="00543C04"/>
    <w:rsid w:val="005501FA"/>
    <w:rsid w:val="00550692"/>
    <w:rsid w:val="0055211D"/>
    <w:rsid w:val="00553593"/>
    <w:rsid w:val="00553693"/>
    <w:rsid w:val="00556935"/>
    <w:rsid w:val="005569DA"/>
    <w:rsid w:val="00557737"/>
    <w:rsid w:val="005628C3"/>
    <w:rsid w:val="00562F0F"/>
    <w:rsid w:val="0056495B"/>
    <w:rsid w:val="0056764A"/>
    <w:rsid w:val="00570505"/>
    <w:rsid w:val="005705E2"/>
    <w:rsid w:val="00570B09"/>
    <w:rsid w:val="005712F2"/>
    <w:rsid w:val="005718A2"/>
    <w:rsid w:val="00573789"/>
    <w:rsid w:val="00573ED7"/>
    <w:rsid w:val="00575D0A"/>
    <w:rsid w:val="005803FD"/>
    <w:rsid w:val="00581C48"/>
    <w:rsid w:val="00583CFA"/>
    <w:rsid w:val="005851EC"/>
    <w:rsid w:val="0058538E"/>
    <w:rsid w:val="00587EEE"/>
    <w:rsid w:val="0059464E"/>
    <w:rsid w:val="0059522F"/>
    <w:rsid w:val="0059753D"/>
    <w:rsid w:val="005A53C4"/>
    <w:rsid w:val="005A686B"/>
    <w:rsid w:val="005A6C40"/>
    <w:rsid w:val="005B38DA"/>
    <w:rsid w:val="005B4004"/>
    <w:rsid w:val="005B595E"/>
    <w:rsid w:val="005B5B13"/>
    <w:rsid w:val="005B63D4"/>
    <w:rsid w:val="005C1106"/>
    <w:rsid w:val="005C3228"/>
    <w:rsid w:val="005C35F9"/>
    <w:rsid w:val="005C463D"/>
    <w:rsid w:val="005C5A9D"/>
    <w:rsid w:val="005C5BA4"/>
    <w:rsid w:val="005C5F9E"/>
    <w:rsid w:val="005D1A4A"/>
    <w:rsid w:val="005D48A1"/>
    <w:rsid w:val="005D4E71"/>
    <w:rsid w:val="005D6D29"/>
    <w:rsid w:val="005D733A"/>
    <w:rsid w:val="005D73FD"/>
    <w:rsid w:val="005E0A95"/>
    <w:rsid w:val="005E2B24"/>
    <w:rsid w:val="005E3D69"/>
    <w:rsid w:val="005E45B9"/>
    <w:rsid w:val="005E498A"/>
    <w:rsid w:val="005E5B37"/>
    <w:rsid w:val="005E70A2"/>
    <w:rsid w:val="005F1E48"/>
    <w:rsid w:val="005F229C"/>
    <w:rsid w:val="005F29D2"/>
    <w:rsid w:val="005F2CFF"/>
    <w:rsid w:val="005F5412"/>
    <w:rsid w:val="005F5535"/>
    <w:rsid w:val="005F55DF"/>
    <w:rsid w:val="005F66CF"/>
    <w:rsid w:val="005F6CFF"/>
    <w:rsid w:val="005F6DB0"/>
    <w:rsid w:val="00600BEC"/>
    <w:rsid w:val="00601680"/>
    <w:rsid w:val="006017FA"/>
    <w:rsid w:val="00602B8D"/>
    <w:rsid w:val="00603330"/>
    <w:rsid w:val="006035E2"/>
    <w:rsid w:val="0060525D"/>
    <w:rsid w:val="00606B28"/>
    <w:rsid w:val="00606C13"/>
    <w:rsid w:val="00607382"/>
    <w:rsid w:val="00607D84"/>
    <w:rsid w:val="00610083"/>
    <w:rsid w:val="00613BE1"/>
    <w:rsid w:val="00613E46"/>
    <w:rsid w:val="0061418D"/>
    <w:rsid w:val="006143C2"/>
    <w:rsid w:val="006143C8"/>
    <w:rsid w:val="00617F87"/>
    <w:rsid w:val="006205A4"/>
    <w:rsid w:val="00622584"/>
    <w:rsid w:val="00622D46"/>
    <w:rsid w:val="00627617"/>
    <w:rsid w:val="00630948"/>
    <w:rsid w:val="00634F2C"/>
    <w:rsid w:val="00635363"/>
    <w:rsid w:val="00637D33"/>
    <w:rsid w:val="00641647"/>
    <w:rsid w:val="00644674"/>
    <w:rsid w:val="00650008"/>
    <w:rsid w:val="00653302"/>
    <w:rsid w:val="006557E8"/>
    <w:rsid w:val="00656101"/>
    <w:rsid w:val="00656EB2"/>
    <w:rsid w:val="00660C92"/>
    <w:rsid w:val="0066451D"/>
    <w:rsid w:val="006651DC"/>
    <w:rsid w:val="006674BD"/>
    <w:rsid w:val="006674E8"/>
    <w:rsid w:val="006701D2"/>
    <w:rsid w:val="00670BC3"/>
    <w:rsid w:val="00670DEC"/>
    <w:rsid w:val="00672158"/>
    <w:rsid w:val="00680608"/>
    <w:rsid w:val="00682E13"/>
    <w:rsid w:val="00684B82"/>
    <w:rsid w:val="00685233"/>
    <w:rsid w:val="00685878"/>
    <w:rsid w:val="00694289"/>
    <w:rsid w:val="00695826"/>
    <w:rsid w:val="006974C2"/>
    <w:rsid w:val="00697A3D"/>
    <w:rsid w:val="00697B3A"/>
    <w:rsid w:val="006A288B"/>
    <w:rsid w:val="006A32FE"/>
    <w:rsid w:val="006A39D7"/>
    <w:rsid w:val="006A511C"/>
    <w:rsid w:val="006A66E3"/>
    <w:rsid w:val="006A709C"/>
    <w:rsid w:val="006A7DC9"/>
    <w:rsid w:val="006B01CE"/>
    <w:rsid w:val="006B04B4"/>
    <w:rsid w:val="006B18DF"/>
    <w:rsid w:val="006B23BE"/>
    <w:rsid w:val="006B2E15"/>
    <w:rsid w:val="006B434B"/>
    <w:rsid w:val="006B503F"/>
    <w:rsid w:val="006B636C"/>
    <w:rsid w:val="006C289A"/>
    <w:rsid w:val="006C4C57"/>
    <w:rsid w:val="006C6519"/>
    <w:rsid w:val="006D02C1"/>
    <w:rsid w:val="006D1BB8"/>
    <w:rsid w:val="006D3862"/>
    <w:rsid w:val="006E59AF"/>
    <w:rsid w:val="006E731D"/>
    <w:rsid w:val="006E75F9"/>
    <w:rsid w:val="006E76CE"/>
    <w:rsid w:val="006F5BD0"/>
    <w:rsid w:val="0070010E"/>
    <w:rsid w:val="00700489"/>
    <w:rsid w:val="0070153B"/>
    <w:rsid w:val="00701835"/>
    <w:rsid w:val="007028D9"/>
    <w:rsid w:val="00706C1D"/>
    <w:rsid w:val="00707075"/>
    <w:rsid w:val="00710E00"/>
    <w:rsid w:val="0071204B"/>
    <w:rsid w:val="00714892"/>
    <w:rsid w:val="00716390"/>
    <w:rsid w:val="0072006A"/>
    <w:rsid w:val="00720422"/>
    <w:rsid w:val="0072341B"/>
    <w:rsid w:val="0072351A"/>
    <w:rsid w:val="00724BE8"/>
    <w:rsid w:val="00727B8E"/>
    <w:rsid w:val="00731752"/>
    <w:rsid w:val="00734F5F"/>
    <w:rsid w:val="00737916"/>
    <w:rsid w:val="007379D4"/>
    <w:rsid w:val="00744488"/>
    <w:rsid w:val="0074555B"/>
    <w:rsid w:val="00745D48"/>
    <w:rsid w:val="00745E5A"/>
    <w:rsid w:val="007475ED"/>
    <w:rsid w:val="0075103B"/>
    <w:rsid w:val="00752D13"/>
    <w:rsid w:val="00752DAB"/>
    <w:rsid w:val="00752E3C"/>
    <w:rsid w:val="0075457A"/>
    <w:rsid w:val="0075731D"/>
    <w:rsid w:val="00757C75"/>
    <w:rsid w:val="007636E7"/>
    <w:rsid w:val="00770A40"/>
    <w:rsid w:val="00771E34"/>
    <w:rsid w:val="00771FE8"/>
    <w:rsid w:val="00773C0A"/>
    <w:rsid w:val="00781E8C"/>
    <w:rsid w:val="00785086"/>
    <w:rsid w:val="0079058E"/>
    <w:rsid w:val="00794A26"/>
    <w:rsid w:val="0079544B"/>
    <w:rsid w:val="0079558D"/>
    <w:rsid w:val="00795E25"/>
    <w:rsid w:val="00797F93"/>
    <w:rsid w:val="007A21BD"/>
    <w:rsid w:val="007A24C1"/>
    <w:rsid w:val="007A5FCA"/>
    <w:rsid w:val="007B3300"/>
    <w:rsid w:val="007B5085"/>
    <w:rsid w:val="007C130C"/>
    <w:rsid w:val="007C1D0F"/>
    <w:rsid w:val="007C2C92"/>
    <w:rsid w:val="007C3145"/>
    <w:rsid w:val="007C3BCB"/>
    <w:rsid w:val="007C79A7"/>
    <w:rsid w:val="007D4694"/>
    <w:rsid w:val="007D4AB4"/>
    <w:rsid w:val="007D4CE6"/>
    <w:rsid w:val="007D6BA7"/>
    <w:rsid w:val="007D6D19"/>
    <w:rsid w:val="007D74D6"/>
    <w:rsid w:val="007D7C05"/>
    <w:rsid w:val="007E015A"/>
    <w:rsid w:val="007E3C21"/>
    <w:rsid w:val="007E530F"/>
    <w:rsid w:val="007E5DEE"/>
    <w:rsid w:val="007E7AC4"/>
    <w:rsid w:val="007E7F65"/>
    <w:rsid w:val="007F075B"/>
    <w:rsid w:val="007F189D"/>
    <w:rsid w:val="007F34D5"/>
    <w:rsid w:val="007F34E7"/>
    <w:rsid w:val="007F3EE8"/>
    <w:rsid w:val="00803764"/>
    <w:rsid w:val="00805C7A"/>
    <w:rsid w:val="00807B8A"/>
    <w:rsid w:val="00815B1A"/>
    <w:rsid w:val="00817516"/>
    <w:rsid w:val="00817B0C"/>
    <w:rsid w:val="0082130D"/>
    <w:rsid w:val="00822FE8"/>
    <w:rsid w:val="00823F2B"/>
    <w:rsid w:val="00826C35"/>
    <w:rsid w:val="008274B6"/>
    <w:rsid w:val="00827523"/>
    <w:rsid w:val="00830C9C"/>
    <w:rsid w:val="0083436B"/>
    <w:rsid w:val="0083638D"/>
    <w:rsid w:val="008373A4"/>
    <w:rsid w:val="0084070A"/>
    <w:rsid w:val="00843342"/>
    <w:rsid w:val="00846C2E"/>
    <w:rsid w:val="008539C2"/>
    <w:rsid w:val="00855528"/>
    <w:rsid w:val="00855D2E"/>
    <w:rsid w:val="00856E2F"/>
    <w:rsid w:val="00865263"/>
    <w:rsid w:val="00867BF8"/>
    <w:rsid w:val="008721C7"/>
    <w:rsid w:val="00873582"/>
    <w:rsid w:val="00874120"/>
    <w:rsid w:val="00881365"/>
    <w:rsid w:val="00883C6B"/>
    <w:rsid w:val="00885266"/>
    <w:rsid w:val="0088531E"/>
    <w:rsid w:val="008863E4"/>
    <w:rsid w:val="008868F4"/>
    <w:rsid w:val="0088747F"/>
    <w:rsid w:val="00887CE2"/>
    <w:rsid w:val="00890FC1"/>
    <w:rsid w:val="00891AD1"/>
    <w:rsid w:val="00897F48"/>
    <w:rsid w:val="008A435C"/>
    <w:rsid w:val="008A70EF"/>
    <w:rsid w:val="008B0255"/>
    <w:rsid w:val="008B1422"/>
    <w:rsid w:val="008B20E6"/>
    <w:rsid w:val="008B22F1"/>
    <w:rsid w:val="008B4F5A"/>
    <w:rsid w:val="008C06C5"/>
    <w:rsid w:val="008C0F4C"/>
    <w:rsid w:val="008C26D7"/>
    <w:rsid w:val="008C342C"/>
    <w:rsid w:val="008C5CF9"/>
    <w:rsid w:val="008D19F1"/>
    <w:rsid w:val="008D2779"/>
    <w:rsid w:val="008D327B"/>
    <w:rsid w:val="008D3B88"/>
    <w:rsid w:val="008D5B91"/>
    <w:rsid w:val="008D5BD6"/>
    <w:rsid w:val="008D615F"/>
    <w:rsid w:val="008E1576"/>
    <w:rsid w:val="008E214C"/>
    <w:rsid w:val="008E5256"/>
    <w:rsid w:val="008E7300"/>
    <w:rsid w:val="008F1248"/>
    <w:rsid w:val="008F2039"/>
    <w:rsid w:val="008F30C7"/>
    <w:rsid w:val="008F4BA1"/>
    <w:rsid w:val="008F6A04"/>
    <w:rsid w:val="0090447A"/>
    <w:rsid w:val="00906572"/>
    <w:rsid w:val="00910A8A"/>
    <w:rsid w:val="00910B13"/>
    <w:rsid w:val="0091326B"/>
    <w:rsid w:val="00915D87"/>
    <w:rsid w:val="00916567"/>
    <w:rsid w:val="009174DF"/>
    <w:rsid w:val="00917852"/>
    <w:rsid w:val="009205B4"/>
    <w:rsid w:val="00921636"/>
    <w:rsid w:val="009265D0"/>
    <w:rsid w:val="00932C14"/>
    <w:rsid w:val="00932F9B"/>
    <w:rsid w:val="009338AA"/>
    <w:rsid w:val="00934811"/>
    <w:rsid w:val="00935516"/>
    <w:rsid w:val="009404C1"/>
    <w:rsid w:val="0094067E"/>
    <w:rsid w:val="00941F44"/>
    <w:rsid w:val="00942F9D"/>
    <w:rsid w:val="009435CE"/>
    <w:rsid w:val="009465C6"/>
    <w:rsid w:val="00947FBB"/>
    <w:rsid w:val="009522ED"/>
    <w:rsid w:val="00952AE4"/>
    <w:rsid w:val="0095402E"/>
    <w:rsid w:val="00955752"/>
    <w:rsid w:val="0095632F"/>
    <w:rsid w:val="00960089"/>
    <w:rsid w:val="00961CE9"/>
    <w:rsid w:val="00963097"/>
    <w:rsid w:val="009630DC"/>
    <w:rsid w:val="00965D4C"/>
    <w:rsid w:val="009676CE"/>
    <w:rsid w:val="00970085"/>
    <w:rsid w:val="0097034D"/>
    <w:rsid w:val="009724CC"/>
    <w:rsid w:val="00973924"/>
    <w:rsid w:val="00976243"/>
    <w:rsid w:val="009813E2"/>
    <w:rsid w:val="0098343A"/>
    <w:rsid w:val="00985F2D"/>
    <w:rsid w:val="0098746F"/>
    <w:rsid w:val="00991A45"/>
    <w:rsid w:val="00992D20"/>
    <w:rsid w:val="0099408C"/>
    <w:rsid w:val="0099445B"/>
    <w:rsid w:val="00995BC2"/>
    <w:rsid w:val="00997879"/>
    <w:rsid w:val="009A053E"/>
    <w:rsid w:val="009A1B20"/>
    <w:rsid w:val="009A4C72"/>
    <w:rsid w:val="009A5102"/>
    <w:rsid w:val="009A5125"/>
    <w:rsid w:val="009A54FB"/>
    <w:rsid w:val="009A5F9C"/>
    <w:rsid w:val="009A64F8"/>
    <w:rsid w:val="009B0373"/>
    <w:rsid w:val="009B2E70"/>
    <w:rsid w:val="009B2F77"/>
    <w:rsid w:val="009B3352"/>
    <w:rsid w:val="009B3863"/>
    <w:rsid w:val="009B390C"/>
    <w:rsid w:val="009B4AD0"/>
    <w:rsid w:val="009B54B9"/>
    <w:rsid w:val="009B60C2"/>
    <w:rsid w:val="009B7E1F"/>
    <w:rsid w:val="009C43CD"/>
    <w:rsid w:val="009C7C40"/>
    <w:rsid w:val="009D30B7"/>
    <w:rsid w:val="009D3DF1"/>
    <w:rsid w:val="009D5AC9"/>
    <w:rsid w:val="009D5FB4"/>
    <w:rsid w:val="009E1400"/>
    <w:rsid w:val="009E217F"/>
    <w:rsid w:val="009E3BF4"/>
    <w:rsid w:val="009E61D2"/>
    <w:rsid w:val="009E6A34"/>
    <w:rsid w:val="009E7512"/>
    <w:rsid w:val="009F30F8"/>
    <w:rsid w:val="009F32C7"/>
    <w:rsid w:val="009F344F"/>
    <w:rsid w:val="009F5F86"/>
    <w:rsid w:val="009F65FD"/>
    <w:rsid w:val="009F730C"/>
    <w:rsid w:val="00A0274E"/>
    <w:rsid w:val="00A04CB1"/>
    <w:rsid w:val="00A06FAE"/>
    <w:rsid w:val="00A07966"/>
    <w:rsid w:val="00A10801"/>
    <w:rsid w:val="00A112C8"/>
    <w:rsid w:val="00A11C29"/>
    <w:rsid w:val="00A1498D"/>
    <w:rsid w:val="00A162D1"/>
    <w:rsid w:val="00A2013C"/>
    <w:rsid w:val="00A227F6"/>
    <w:rsid w:val="00A26B91"/>
    <w:rsid w:val="00A30926"/>
    <w:rsid w:val="00A30F21"/>
    <w:rsid w:val="00A324F4"/>
    <w:rsid w:val="00A348C8"/>
    <w:rsid w:val="00A365D8"/>
    <w:rsid w:val="00A36DD9"/>
    <w:rsid w:val="00A40EA1"/>
    <w:rsid w:val="00A41B7F"/>
    <w:rsid w:val="00A42A8E"/>
    <w:rsid w:val="00A43335"/>
    <w:rsid w:val="00A46E00"/>
    <w:rsid w:val="00A52B11"/>
    <w:rsid w:val="00A54442"/>
    <w:rsid w:val="00A56525"/>
    <w:rsid w:val="00A57A9F"/>
    <w:rsid w:val="00A60F38"/>
    <w:rsid w:val="00A61EAE"/>
    <w:rsid w:val="00A62BA8"/>
    <w:rsid w:val="00A63420"/>
    <w:rsid w:val="00A65834"/>
    <w:rsid w:val="00A663F1"/>
    <w:rsid w:val="00A669DC"/>
    <w:rsid w:val="00A66E8F"/>
    <w:rsid w:val="00A673A5"/>
    <w:rsid w:val="00A745DB"/>
    <w:rsid w:val="00A759EB"/>
    <w:rsid w:val="00A76310"/>
    <w:rsid w:val="00A76AD0"/>
    <w:rsid w:val="00A80D8B"/>
    <w:rsid w:val="00A82701"/>
    <w:rsid w:val="00A82ADD"/>
    <w:rsid w:val="00A831CE"/>
    <w:rsid w:val="00A90B36"/>
    <w:rsid w:val="00A9441A"/>
    <w:rsid w:val="00A94D12"/>
    <w:rsid w:val="00A953F7"/>
    <w:rsid w:val="00A95A48"/>
    <w:rsid w:val="00A96883"/>
    <w:rsid w:val="00A9694B"/>
    <w:rsid w:val="00A97831"/>
    <w:rsid w:val="00A9792C"/>
    <w:rsid w:val="00A97B43"/>
    <w:rsid w:val="00A97E03"/>
    <w:rsid w:val="00AA0DB1"/>
    <w:rsid w:val="00AA16A2"/>
    <w:rsid w:val="00AA21CE"/>
    <w:rsid w:val="00AA278C"/>
    <w:rsid w:val="00AA63CB"/>
    <w:rsid w:val="00AA7D73"/>
    <w:rsid w:val="00AB028D"/>
    <w:rsid w:val="00AB0BBB"/>
    <w:rsid w:val="00AB1A2B"/>
    <w:rsid w:val="00AB2A1F"/>
    <w:rsid w:val="00AB4024"/>
    <w:rsid w:val="00AB4AA4"/>
    <w:rsid w:val="00AC0927"/>
    <w:rsid w:val="00AC1F71"/>
    <w:rsid w:val="00AC64AF"/>
    <w:rsid w:val="00AD0A22"/>
    <w:rsid w:val="00AD18A0"/>
    <w:rsid w:val="00AD26A9"/>
    <w:rsid w:val="00AD4019"/>
    <w:rsid w:val="00AD4C20"/>
    <w:rsid w:val="00AD5237"/>
    <w:rsid w:val="00AD555E"/>
    <w:rsid w:val="00AD5D2C"/>
    <w:rsid w:val="00AD6A6F"/>
    <w:rsid w:val="00AD6E72"/>
    <w:rsid w:val="00AE160D"/>
    <w:rsid w:val="00AE1D6D"/>
    <w:rsid w:val="00AE1FE6"/>
    <w:rsid w:val="00AE634C"/>
    <w:rsid w:val="00AE7AE7"/>
    <w:rsid w:val="00AF13C5"/>
    <w:rsid w:val="00AF3C96"/>
    <w:rsid w:val="00B01105"/>
    <w:rsid w:val="00B01C3C"/>
    <w:rsid w:val="00B03A37"/>
    <w:rsid w:val="00B04083"/>
    <w:rsid w:val="00B043E3"/>
    <w:rsid w:val="00B0506F"/>
    <w:rsid w:val="00B06C5B"/>
    <w:rsid w:val="00B10A1F"/>
    <w:rsid w:val="00B10B20"/>
    <w:rsid w:val="00B10D9A"/>
    <w:rsid w:val="00B129AA"/>
    <w:rsid w:val="00B144F0"/>
    <w:rsid w:val="00B1646D"/>
    <w:rsid w:val="00B16C98"/>
    <w:rsid w:val="00B20A65"/>
    <w:rsid w:val="00B22914"/>
    <w:rsid w:val="00B23D4B"/>
    <w:rsid w:val="00B24D49"/>
    <w:rsid w:val="00B24F1E"/>
    <w:rsid w:val="00B309E1"/>
    <w:rsid w:val="00B30B41"/>
    <w:rsid w:val="00B3123A"/>
    <w:rsid w:val="00B3214E"/>
    <w:rsid w:val="00B410F0"/>
    <w:rsid w:val="00B4146F"/>
    <w:rsid w:val="00B41948"/>
    <w:rsid w:val="00B4309D"/>
    <w:rsid w:val="00B445EC"/>
    <w:rsid w:val="00B44C9B"/>
    <w:rsid w:val="00B44F2B"/>
    <w:rsid w:val="00B506DC"/>
    <w:rsid w:val="00B50C5D"/>
    <w:rsid w:val="00B50D55"/>
    <w:rsid w:val="00B5109D"/>
    <w:rsid w:val="00B51244"/>
    <w:rsid w:val="00B51951"/>
    <w:rsid w:val="00B52769"/>
    <w:rsid w:val="00B52D4A"/>
    <w:rsid w:val="00B530D9"/>
    <w:rsid w:val="00B53C09"/>
    <w:rsid w:val="00B61629"/>
    <w:rsid w:val="00B61C2E"/>
    <w:rsid w:val="00B63985"/>
    <w:rsid w:val="00B64114"/>
    <w:rsid w:val="00B64B69"/>
    <w:rsid w:val="00B652D3"/>
    <w:rsid w:val="00B65342"/>
    <w:rsid w:val="00B65801"/>
    <w:rsid w:val="00B6581B"/>
    <w:rsid w:val="00B65909"/>
    <w:rsid w:val="00B6697F"/>
    <w:rsid w:val="00B66EAD"/>
    <w:rsid w:val="00B67F1C"/>
    <w:rsid w:val="00B70A64"/>
    <w:rsid w:val="00B7126A"/>
    <w:rsid w:val="00B7201A"/>
    <w:rsid w:val="00B81995"/>
    <w:rsid w:val="00B84824"/>
    <w:rsid w:val="00B84F67"/>
    <w:rsid w:val="00B90589"/>
    <w:rsid w:val="00B925EE"/>
    <w:rsid w:val="00B9443B"/>
    <w:rsid w:val="00B95690"/>
    <w:rsid w:val="00BA0A0C"/>
    <w:rsid w:val="00BA42E6"/>
    <w:rsid w:val="00BB10B8"/>
    <w:rsid w:val="00BB1631"/>
    <w:rsid w:val="00BB248D"/>
    <w:rsid w:val="00BB4E58"/>
    <w:rsid w:val="00BB618F"/>
    <w:rsid w:val="00BB6B4E"/>
    <w:rsid w:val="00BB728B"/>
    <w:rsid w:val="00BC10B0"/>
    <w:rsid w:val="00BC1A0F"/>
    <w:rsid w:val="00BC4762"/>
    <w:rsid w:val="00BC67DA"/>
    <w:rsid w:val="00BD08CD"/>
    <w:rsid w:val="00BD2145"/>
    <w:rsid w:val="00BD3662"/>
    <w:rsid w:val="00BE2B5B"/>
    <w:rsid w:val="00BE307C"/>
    <w:rsid w:val="00BF389D"/>
    <w:rsid w:val="00BF687C"/>
    <w:rsid w:val="00BF6D9F"/>
    <w:rsid w:val="00C00AD2"/>
    <w:rsid w:val="00C0383F"/>
    <w:rsid w:val="00C03C11"/>
    <w:rsid w:val="00C045E0"/>
    <w:rsid w:val="00C06046"/>
    <w:rsid w:val="00C077DF"/>
    <w:rsid w:val="00C11443"/>
    <w:rsid w:val="00C11B1E"/>
    <w:rsid w:val="00C16BAF"/>
    <w:rsid w:val="00C22D79"/>
    <w:rsid w:val="00C31832"/>
    <w:rsid w:val="00C31C6E"/>
    <w:rsid w:val="00C31E2F"/>
    <w:rsid w:val="00C31E5C"/>
    <w:rsid w:val="00C35983"/>
    <w:rsid w:val="00C44583"/>
    <w:rsid w:val="00C45802"/>
    <w:rsid w:val="00C45808"/>
    <w:rsid w:val="00C52FD9"/>
    <w:rsid w:val="00C555E9"/>
    <w:rsid w:val="00C70ECB"/>
    <w:rsid w:val="00C73086"/>
    <w:rsid w:val="00C74666"/>
    <w:rsid w:val="00C753A2"/>
    <w:rsid w:val="00C7633D"/>
    <w:rsid w:val="00C81088"/>
    <w:rsid w:val="00C8510A"/>
    <w:rsid w:val="00C86841"/>
    <w:rsid w:val="00C876D6"/>
    <w:rsid w:val="00C91D41"/>
    <w:rsid w:val="00C9292F"/>
    <w:rsid w:val="00C92B03"/>
    <w:rsid w:val="00C95EF4"/>
    <w:rsid w:val="00C9670C"/>
    <w:rsid w:val="00C97662"/>
    <w:rsid w:val="00CA1395"/>
    <w:rsid w:val="00CA2350"/>
    <w:rsid w:val="00CA2A2B"/>
    <w:rsid w:val="00CA2E5A"/>
    <w:rsid w:val="00CA2F20"/>
    <w:rsid w:val="00CA417D"/>
    <w:rsid w:val="00CA4D9D"/>
    <w:rsid w:val="00CA53F4"/>
    <w:rsid w:val="00CB15A4"/>
    <w:rsid w:val="00CB2B47"/>
    <w:rsid w:val="00CB57F5"/>
    <w:rsid w:val="00CB7A05"/>
    <w:rsid w:val="00CC3014"/>
    <w:rsid w:val="00CC5DE6"/>
    <w:rsid w:val="00CC6562"/>
    <w:rsid w:val="00CC6B5F"/>
    <w:rsid w:val="00CD0F49"/>
    <w:rsid w:val="00CD2994"/>
    <w:rsid w:val="00CD2A8C"/>
    <w:rsid w:val="00CD3325"/>
    <w:rsid w:val="00CD5D9B"/>
    <w:rsid w:val="00CD6B7C"/>
    <w:rsid w:val="00CD754E"/>
    <w:rsid w:val="00CE08DC"/>
    <w:rsid w:val="00CE2C70"/>
    <w:rsid w:val="00CE4E94"/>
    <w:rsid w:val="00CE5C20"/>
    <w:rsid w:val="00CF0C31"/>
    <w:rsid w:val="00CF11EA"/>
    <w:rsid w:val="00CF1315"/>
    <w:rsid w:val="00CF308E"/>
    <w:rsid w:val="00CF40BE"/>
    <w:rsid w:val="00CF5E99"/>
    <w:rsid w:val="00D00FD4"/>
    <w:rsid w:val="00D04E2C"/>
    <w:rsid w:val="00D06631"/>
    <w:rsid w:val="00D1733D"/>
    <w:rsid w:val="00D232F0"/>
    <w:rsid w:val="00D24388"/>
    <w:rsid w:val="00D251A4"/>
    <w:rsid w:val="00D2554A"/>
    <w:rsid w:val="00D26AE2"/>
    <w:rsid w:val="00D279A0"/>
    <w:rsid w:val="00D30980"/>
    <w:rsid w:val="00D33703"/>
    <w:rsid w:val="00D33F69"/>
    <w:rsid w:val="00D3559B"/>
    <w:rsid w:val="00D35DF4"/>
    <w:rsid w:val="00D379E5"/>
    <w:rsid w:val="00D37FAA"/>
    <w:rsid w:val="00D41678"/>
    <w:rsid w:val="00D425FF"/>
    <w:rsid w:val="00D45192"/>
    <w:rsid w:val="00D45A31"/>
    <w:rsid w:val="00D50A0A"/>
    <w:rsid w:val="00D51460"/>
    <w:rsid w:val="00D547AA"/>
    <w:rsid w:val="00D5790C"/>
    <w:rsid w:val="00D617A7"/>
    <w:rsid w:val="00D61A73"/>
    <w:rsid w:val="00D62F18"/>
    <w:rsid w:val="00D639B0"/>
    <w:rsid w:val="00D652B8"/>
    <w:rsid w:val="00D65840"/>
    <w:rsid w:val="00D70326"/>
    <w:rsid w:val="00D709D5"/>
    <w:rsid w:val="00D72A44"/>
    <w:rsid w:val="00D7372C"/>
    <w:rsid w:val="00D7477A"/>
    <w:rsid w:val="00D7497B"/>
    <w:rsid w:val="00D74B73"/>
    <w:rsid w:val="00D75A7E"/>
    <w:rsid w:val="00D767E9"/>
    <w:rsid w:val="00D801A4"/>
    <w:rsid w:val="00D81DF6"/>
    <w:rsid w:val="00D82359"/>
    <w:rsid w:val="00D84618"/>
    <w:rsid w:val="00D86A4C"/>
    <w:rsid w:val="00D90764"/>
    <w:rsid w:val="00D9225F"/>
    <w:rsid w:val="00D933AE"/>
    <w:rsid w:val="00DA084A"/>
    <w:rsid w:val="00DA7678"/>
    <w:rsid w:val="00DB478B"/>
    <w:rsid w:val="00DB48B7"/>
    <w:rsid w:val="00DB6882"/>
    <w:rsid w:val="00DC19D0"/>
    <w:rsid w:val="00DC4579"/>
    <w:rsid w:val="00DC733C"/>
    <w:rsid w:val="00DD0764"/>
    <w:rsid w:val="00DD1205"/>
    <w:rsid w:val="00DD1D3E"/>
    <w:rsid w:val="00DD326B"/>
    <w:rsid w:val="00DD49C1"/>
    <w:rsid w:val="00DD6BF8"/>
    <w:rsid w:val="00DD7D8A"/>
    <w:rsid w:val="00DE0156"/>
    <w:rsid w:val="00DE18C0"/>
    <w:rsid w:val="00DE299D"/>
    <w:rsid w:val="00DE422A"/>
    <w:rsid w:val="00DE563D"/>
    <w:rsid w:val="00DE663E"/>
    <w:rsid w:val="00DE7260"/>
    <w:rsid w:val="00DE7A18"/>
    <w:rsid w:val="00DF501F"/>
    <w:rsid w:val="00DF5A08"/>
    <w:rsid w:val="00DF5D04"/>
    <w:rsid w:val="00DF6729"/>
    <w:rsid w:val="00DF67E5"/>
    <w:rsid w:val="00DF76A7"/>
    <w:rsid w:val="00E013C3"/>
    <w:rsid w:val="00E013D5"/>
    <w:rsid w:val="00E055E2"/>
    <w:rsid w:val="00E05773"/>
    <w:rsid w:val="00E072A9"/>
    <w:rsid w:val="00E123B3"/>
    <w:rsid w:val="00E126CD"/>
    <w:rsid w:val="00E127B7"/>
    <w:rsid w:val="00E14D39"/>
    <w:rsid w:val="00E16580"/>
    <w:rsid w:val="00E16C61"/>
    <w:rsid w:val="00E1781B"/>
    <w:rsid w:val="00E178EB"/>
    <w:rsid w:val="00E232A0"/>
    <w:rsid w:val="00E26FC5"/>
    <w:rsid w:val="00E276D4"/>
    <w:rsid w:val="00E27D44"/>
    <w:rsid w:val="00E33372"/>
    <w:rsid w:val="00E34A4C"/>
    <w:rsid w:val="00E352B7"/>
    <w:rsid w:val="00E40311"/>
    <w:rsid w:val="00E40503"/>
    <w:rsid w:val="00E44A42"/>
    <w:rsid w:val="00E44C23"/>
    <w:rsid w:val="00E45002"/>
    <w:rsid w:val="00E45B2C"/>
    <w:rsid w:val="00E471B6"/>
    <w:rsid w:val="00E518E3"/>
    <w:rsid w:val="00E51DEA"/>
    <w:rsid w:val="00E5365B"/>
    <w:rsid w:val="00E5422E"/>
    <w:rsid w:val="00E54744"/>
    <w:rsid w:val="00E5556B"/>
    <w:rsid w:val="00E57311"/>
    <w:rsid w:val="00E57D42"/>
    <w:rsid w:val="00E62F07"/>
    <w:rsid w:val="00E649B5"/>
    <w:rsid w:val="00E649E1"/>
    <w:rsid w:val="00E669E0"/>
    <w:rsid w:val="00E707EF"/>
    <w:rsid w:val="00E716D5"/>
    <w:rsid w:val="00E72FD8"/>
    <w:rsid w:val="00E76A89"/>
    <w:rsid w:val="00E80023"/>
    <w:rsid w:val="00E83B52"/>
    <w:rsid w:val="00E86B8C"/>
    <w:rsid w:val="00E91B13"/>
    <w:rsid w:val="00E921F6"/>
    <w:rsid w:val="00E92868"/>
    <w:rsid w:val="00E92C40"/>
    <w:rsid w:val="00E9358B"/>
    <w:rsid w:val="00E94B68"/>
    <w:rsid w:val="00E95B12"/>
    <w:rsid w:val="00E96580"/>
    <w:rsid w:val="00E96E0E"/>
    <w:rsid w:val="00EA0B6A"/>
    <w:rsid w:val="00EA30BA"/>
    <w:rsid w:val="00EA3744"/>
    <w:rsid w:val="00EA5612"/>
    <w:rsid w:val="00EA5FBF"/>
    <w:rsid w:val="00EA6C43"/>
    <w:rsid w:val="00EB0333"/>
    <w:rsid w:val="00EB0E34"/>
    <w:rsid w:val="00EB2B08"/>
    <w:rsid w:val="00EB3846"/>
    <w:rsid w:val="00EB3E9F"/>
    <w:rsid w:val="00EB489F"/>
    <w:rsid w:val="00EB750B"/>
    <w:rsid w:val="00EB7AC3"/>
    <w:rsid w:val="00EC2AED"/>
    <w:rsid w:val="00ED041E"/>
    <w:rsid w:val="00ED2CAE"/>
    <w:rsid w:val="00ED39A5"/>
    <w:rsid w:val="00ED42CC"/>
    <w:rsid w:val="00ED65C9"/>
    <w:rsid w:val="00EE00A2"/>
    <w:rsid w:val="00EE3F33"/>
    <w:rsid w:val="00EE42A7"/>
    <w:rsid w:val="00EE6CAD"/>
    <w:rsid w:val="00EE715F"/>
    <w:rsid w:val="00EE782D"/>
    <w:rsid w:val="00EE7FFE"/>
    <w:rsid w:val="00EF1ACB"/>
    <w:rsid w:val="00EF37B5"/>
    <w:rsid w:val="00EF3A61"/>
    <w:rsid w:val="00EF4266"/>
    <w:rsid w:val="00EF4647"/>
    <w:rsid w:val="00EF4957"/>
    <w:rsid w:val="00EF5B17"/>
    <w:rsid w:val="00EF78FB"/>
    <w:rsid w:val="00F053C4"/>
    <w:rsid w:val="00F06087"/>
    <w:rsid w:val="00F0776B"/>
    <w:rsid w:val="00F1109B"/>
    <w:rsid w:val="00F1114E"/>
    <w:rsid w:val="00F11FA7"/>
    <w:rsid w:val="00F13A08"/>
    <w:rsid w:val="00F15536"/>
    <w:rsid w:val="00F165C1"/>
    <w:rsid w:val="00F17461"/>
    <w:rsid w:val="00F2044B"/>
    <w:rsid w:val="00F20E5D"/>
    <w:rsid w:val="00F22208"/>
    <w:rsid w:val="00F23158"/>
    <w:rsid w:val="00F23568"/>
    <w:rsid w:val="00F23824"/>
    <w:rsid w:val="00F26DB1"/>
    <w:rsid w:val="00F27C54"/>
    <w:rsid w:val="00F30067"/>
    <w:rsid w:val="00F3018D"/>
    <w:rsid w:val="00F30E94"/>
    <w:rsid w:val="00F355A6"/>
    <w:rsid w:val="00F366AC"/>
    <w:rsid w:val="00F3731E"/>
    <w:rsid w:val="00F4008C"/>
    <w:rsid w:val="00F415AC"/>
    <w:rsid w:val="00F424B5"/>
    <w:rsid w:val="00F42593"/>
    <w:rsid w:val="00F42ADC"/>
    <w:rsid w:val="00F44D99"/>
    <w:rsid w:val="00F467A2"/>
    <w:rsid w:val="00F50A0D"/>
    <w:rsid w:val="00F5239E"/>
    <w:rsid w:val="00F53D16"/>
    <w:rsid w:val="00F60468"/>
    <w:rsid w:val="00F60A3A"/>
    <w:rsid w:val="00F60CF3"/>
    <w:rsid w:val="00F6241E"/>
    <w:rsid w:val="00F62A59"/>
    <w:rsid w:val="00F63E9C"/>
    <w:rsid w:val="00F64DF5"/>
    <w:rsid w:val="00F660E6"/>
    <w:rsid w:val="00F66AB0"/>
    <w:rsid w:val="00F715CD"/>
    <w:rsid w:val="00F74CDE"/>
    <w:rsid w:val="00F74F6F"/>
    <w:rsid w:val="00F75442"/>
    <w:rsid w:val="00F757E8"/>
    <w:rsid w:val="00F77FF2"/>
    <w:rsid w:val="00F80386"/>
    <w:rsid w:val="00F80DC5"/>
    <w:rsid w:val="00F8761C"/>
    <w:rsid w:val="00F90029"/>
    <w:rsid w:val="00F9444A"/>
    <w:rsid w:val="00F94530"/>
    <w:rsid w:val="00F95234"/>
    <w:rsid w:val="00FA1305"/>
    <w:rsid w:val="00FA35C4"/>
    <w:rsid w:val="00FA3DA3"/>
    <w:rsid w:val="00FA5162"/>
    <w:rsid w:val="00FA6EB1"/>
    <w:rsid w:val="00FB05FB"/>
    <w:rsid w:val="00FB0F85"/>
    <w:rsid w:val="00FB2B79"/>
    <w:rsid w:val="00FB42DE"/>
    <w:rsid w:val="00FB48AB"/>
    <w:rsid w:val="00FB745E"/>
    <w:rsid w:val="00FC0CD3"/>
    <w:rsid w:val="00FC0D73"/>
    <w:rsid w:val="00FC394F"/>
    <w:rsid w:val="00FC4DEC"/>
    <w:rsid w:val="00FC7650"/>
    <w:rsid w:val="00FD26AC"/>
    <w:rsid w:val="00FD5CBD"/>
    <w:rsid w:val="00FD65C0"/>
    <w:rsid w:val="00FE02CB"/>
    <w:rsid w:val="00FE179D"/>
    <w:rsid w:val="00FE1DB0"/>
    <w:rsid w:val="00FE208D"/>
    <w:rsid w:val="00FE3528"/>
    <w:rsid w:val="00FE7B03"/>
    <w:rsid w:val="00FF1990"/>
    <w:rsid w:val="00FF1FA5"/>
    <w:rsid w:val="00FF7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DB"/>
    <w:rPr>
      <w:rFonts w:ascii="Lato" w:hAnsi="Lato" w:cs="Arial"/>
    </w:rPr>
  </w:style>
  <w:style w:type="paragraph" w:styleId="Heading1">
    <w:name w:val="heading 1"/>
    <w:basedOn w:val="Normal"/>
    <w:next w:val="Normal"/>
    <w:link w:val="Heading1Char"/>
    <w:uiPriority w:val="9"/>
    <w:qFormat/>
    <w:rsid w:val="005177DB"/>
    <w:pPr>
      <w:spacing w:before="120" w:after="240"/>
      <w:outlineLvl w:val="0"/>
    </w:pPr>
    <w:rPr>
      <w:b/>
      <w:caps/>
      <w:color w:val="CB6015"/>
      <w:spacing w:val="10"/>
      <w:sz w:val="28"/>
    </w:rPr>
  </w:style>
  <w:style w:type="paragraph" w:styleId="Heading2">
    <w:name w:val="heading 2"/>
    <w:basedOn w:val="ListParagraph"/>
    <w:next w:val="Normal"/>
    <w:link w:val="Heading2Char"/>
    <w:uiPriority w:val="9"/>
    <w:unhideWhenUsed/>
    <w:qFormat/>
    <w:rsid w:val="00FB0F85"/>
    <w:pPr>
      <w:numPr>
        <w:numId w:val="3"/>
      </w:numPr>
      <w:ind w:left="454" w:hanging="454"/>
      <w:outlineLvl w:val="1"/>
    </w:pPr>
    <w:rPr>
      <w:rFonts w:ascii="Arial Bold" w:hAnsi="Arial Bold"/>
      <w:b/>
      <w:smallCaps/>
      <w:sz w:val="24"/>
    </w:rPr>
  </w:style>
  <w:style w:type="paragraph" w:styleId="Heading3">
    <w:name w:val="heading 3"/>
    <w:basedOn w:val="ListParagraph"/>
    <w:next w:val="Normal"/>
    <w:link w:val="Heading3Char"/>
    <w:uiPriority w:val="9"/>
    <w:unhideWhenUsed/>
    <w:qFormat/>
    <w:rsid w:val="002B6623"/>
    <w:pPr>
      <w:numPr>
        <w:ilvl w:val="1"/>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78"/>
  </w:style>
  <w:style w:type="paragraph" w:styleId="Footer">
    <w:name w:val="footer"/>
    <w:basedOn w:val="Normal"/>
    <w:link w:val="FooterChar"/>
    <w:uiPriority w:val="99"/>
    <w:unhideWhenUsed/>
    <w:rsid w:val="00D4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78"/>
  </w:style>
  <w:style w:type="paragraph" w:styleId="Title">
    <w:name w:val="Title"/>
    <w:basedOn w:val="Normal"/>
    <w:next w:val="Normal"/>
    <w:link w:val="TitleChar"/>
    <w:uiPriority w:val="10"/>
    <w:qFormat/>
    <w:rsid w:val="00030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2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77DB"/>
    <w:rPr>
      <w:rFonts w:ascii="Lato" w:hAnsi="Lato" w:cs="Arial"/>
      <w:b/>
      <w:caps/>
      <w:color w:val="CB6015"/>
      <w:spacing w:val="10"/>
      <w:sz w:val="28"/>
    </w:rPr>
  </w:style>
  <w:style w:type="paragraph" w:styleId="NoSpacing">
    <w:name w:val="No Spacing"/>
    <w:uiPriority w:val="1"/>
    <w:qFormat/>
    <w:rsid w:val="006974C2"/>
    <w:pPr>
      <w:spacing w:after="0" w:line="240" w:lineRule="auto"/>
    </w:pPr>
    <w:rPr>
      <w:rFonts w:ascii="Arial" w:hAnsi="Arial" w:cs="Arial"/>
    </w:rPr>
  </w:style>
  <w:style w:type="paragraph" w:styleId="ListParagraph">
    <w:name w:val="List Paragraph"/>
    <w:basedOn w:val="Normal"/>
    <w:uiPriority w:val="34"/>
    <w:qFormat/>
    <w:rsid w:val="002B6623"/>
    <w:pPr>
      <w:ind w:left="720"/>
      <w:contextualSpacing/>
    </w:pPr>
  </w:style>
  <w:style w:type="character" w:customStyle="1" w:styleId="Heading2Char">
    <w:name w:val="Heading 2 Char"/>
    <w:basedOn w:val="DefaultParagraphFont"/>
    <w:link w:val="Heading2"/>
    <w:uiPriority w:val="9"/>
    <w:rsid w:val="00FB0F85"/>
    <w:rPr>
      <w:rFonts w:ascii="Arial Bold" w:hAnsi="Arial Bold" w:cs="Arial"/>
      <w:b/>
      <w:smallCaps/>
      <w:sz w:val="24"/>
    </w:rPr>
  </w:style>
  <w:style w:type="character" w:customStyle="1" w:styleId="Heading3Char">
    <w:name w:val="Heading 3 Char"/>
    <w:basedOn w:val="DefaultParagraphFont"/>
    <w:link w:val="Heading3"/>
    <w:uiPriority w:val="9"/>
    <w:rsid w:val="002B6623"/>
    <w:rPr>
      <w:rFonts w:ascii="Arial" w:hAnsi="Arial" w:cs="Arial"/>
      <w:b/>
    </w:rPr>
  </w:style>
  <w:style w:type="paragraph" w:styleId="TOCHeading">
    <w:name w:val="TOC Heading"/>
    <w:basedOn w:val="Heading1"/>
    <w:next w:val="Normal"/>
    <w:uiPriority w:val="39"/>
    <w:unhideWhenUsed/>
    <w:qFormat/>
    <w:rsid w:val="00807B8A"/>
  </w:style>
  <w:style w:type="paragraph" w:styleId="TOC1">
    <w:name w:val="toc 1"/>
    <w:basedOn w:val="Normal"/>
    <w:next w:val="Normal"/>
    <w:autoRedefine/>
    <w:uiPriority w:val="39"/>
    <w:unhideWhenUsed/>
    <w:rsid w:val="00C22D79"/>
    <w:pPr>
      <w:tabs>
        <w:tab w:val="right" w:leader="dot" w:pos="9016"/>
      </w:tabs>
      <w:spacing w:before="240" w:after="120"/>
      <w:jc w:val="center"/>
    </w:pPr>
    <w:rPr>
      <w:rFonts w:asciiTheme="minorHAnsi" w:hAnsiTheme="minorHAnsi"/>
      <w:b/>
      <w:bCs/>
      <w:caps/>
      <w:noProof/>
    </w:rPr>
  </w:style>
  <w:style w:type="paragraph" w:styleId="TOC2">
    <w:name w:val="toc 2"/>
    <w:basedOn w:val="Normal"/>
    <w:next w:val="Normal"/>
    <w:autoRedefine/>
    <w:uiPriority w:val="39"/>
    <w:unhideWhenUsed/>
    <w:rsid w:val="005A53C4"/>
    <w:pPr>
      <w:tabs>
        <w:tab w:val="left" w:pos="390"/>
        <w:tab w:val="right" w:leader="dot" w:pos="9016"/>
      </w:tabs>
      <w:spacing w:before="120" w:after="0"/>
    </w:pPr>
    <w:rPr>
      <w:rFonts w:asciiTheme="minorHAnsi" w:hAnsiTheme="minorHAnsi"/>
      <w:b/>
      <w:bCs/>
      <w:smallCaps/>
    </w:rPr>
  </w:style>
  <w:style w:type="paragraph" w:styleId="TOC3">
    <w:name w:val="toc 3"/>
    <w:basedOn w:val="Normal"/>
    <w:next w:val="Normal"/>
    <w:autoRedefine/>
    <w:uiPriority w:val="39"/>
    <w:unhideWhenUsed/>
    <w:rsid w:val="005A53C4"/>
    <w:pPr>
      <w:tabs>
        <w:tab w:val="left" w:pos="610"/>
        <w:tab w:val="right" w:leader="dot" w:pos="9016"/>
      </w:tabs>
      <w:spacing w:after="0"/>
    </w:pPr>
    <w:rPr>
      <w:rFonts w:asciiTheme="minorHAnsi" w:hAnsiTheme="minorHAnsi"/>
      <w:smallCaps/>
    </w:rPr>
  </w:style>
  <w:style w:type="character" w:styleId="Hyperlink">
    <w:name w:val="Hyperlink"/>
    <w:basedOn w:val="DefaultParagraphFont"/>
    <w:uiPriority w:val="99"/>
    <w:unhideWhenUsed/>
    <w:rsid w:val="002B6623"/>
    <w:rPr>
      <w:color w:val="0563C1" w:themeColor="hyperlink"/>
      <w:u w:val="single"/>
    </w:rPr>
  </w:style>
  <w:style w:type="paragraph" w:styleId="TOC4">
    <w:name w:val="toc 4"/>
    <w:basedOn w:val="Normal"/>
    <w:next w:val="Normal"/>
    <w:autoRedefine/>
    <w:uiPriority w:val="39"/>
    <w:unhideWhenUsed/>
    <w:rsid w:val="002B6623"/>
    <w:pPr>
      <w:spacing w:after="0"/>
    </w:pPr>
    <w:rPr>
      <w:rFonts w:asciiTheme="minorHAnsi" w:hAnsiTheme="minorHAnsi"/>
    </w:rPr>
  </w:style>
  <w:style w:type="paragraph" w:styleId="TOC5">
    <w:name w:val="toc 5"/>
    <w:basedOn w:val="Normal"/>
    <w:next w:val="Normal"/>
    <w:autoRedefine/>
    <w:uiPriority w:val="39"/>
    <w:unhideWhenUsed/>
    <w:rsid w:val="002B6623"/>
    <w:pPr>
      <w:spacing w:after="0"/>
    </w:pPr>
    <w:rPr>
      <w:rFonts w:asciiTheme="minorHAnsi" w:hAnsiTheme="minorHAnsi"/>
    </w:rPr>
  </w:style>
  <w:style w:type="paragraph" w:styleId="TOC6">
    <w:name w:val="toc 6"/>
    <w:basedOn w:val="Normal"/>
    <w:next w:val="Normal"/>
    <w:autoRedefine/>
    <w:uiPriority w:val="39"/>
    <w:unhideWhenUsed/>
    <w:rsid w:val="002B6623"/>
    <w:pPr>
      <w:spacing w:after="0"/>
    </w:pPr>
    <w:rPr>
      <w:rFonts w:asciiTheme="minorHAnsi" w:hAnsiTheme="minorHAnsi"/>
    </w:rPr>
  </w:style>
  <w:style w:type="paragraph" w:styleId="TOC7">
    <w:name w:val="toc 7"/>
    <w:basedOn w:val="Normal"/>
    <w:next w:val="Normal"/>
    <w:autoRedefine/>
    <w:uiPriority w:val="39"/>
    <w:unhideWhenUsed/>
    <w:rsid w:val="002B6623"/>
    <w:pPr>
      <w:spacing w:after="0"/>
    </w:pPr>
    <w:rPr>
      <w:rFonts w:asciiTheme="minorHAnsi" w:hAnsiTheme="minorHAnsi"/>
    </w:rPr>
  </w:style>
  <w:style w:type="paragraph" w:styleId="TOC8">
    <w:name w:val="toc 8"/>
    <w:basedOn w:val="Normal"/>
    <w:next w:val="Normal"/>
    <w:autoRedefine/>
    <w:uiPriority w:val="39"/>
    <w:unhideWhenUsed/>
    <w:rsid w:val="002B6623"/>
    <w:pPr>
      <w:spacing w:after="0"/>
    </w:pPr>
    <w:rPr>
      <w:rFonts w:asciiTheme="minorHAnsi" w:hAnsiTheme="minorHAnsi"/>
    </w:rPr>
  </w:style>
  <w:style w:type="paragraph" w:styleId="TOC9">
    <w:name w:val="toc 9"/>
    <w:basedOn w:val="Normal"/>
    <w:next w:val="Normal"/>
    <w:autoRedefine/>
    <w:uiPriority w:val="39"/>
    <w:unhideWhenUsed/>
    <w:rsid w:val="002B6623"/>
    <w:pPr>
      <w:spacing w:after="0"/>
    </w:pPr>
    <w:rPr>
      <w:rFonts w:asciiTheme="minorHAnsi" w:hAnsiTheme="minorHAnsi"/>
    </w:rPr>
  </w:style>
  <w:style w:type="paragraph" w:styleId="BalloonText">
    <w:name w:val="Balloon Text"/>
    <w:basedOn w:val="Normal"/>
    <w:link w:val="BalloonTextChar"/>
    <w:uiPriority w:val="99"/>
    <w:semiHidden/>
    <w:unhideWhenUsed/>
    <w:rsid w:val="0079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25"/>
    <w:rPr>
      <w:rFonts w:ascii="Segoe UI" w:hAnsi="Segoe UI" w:cs="Segoe UI"/>
      <w:sz w:val="18"/>
      <w:szCs w:val="18"/>
    </w:rPr>
  </w:style>
  <w:style w:type="paragraph" w:customStyle="1" w:styleId="ReferenceResource">
    <w:name w:val="Reference Resource"/>
    <w:basedOn w:val="Normal"/>
    <w:link w:val="ReferenceResourceChar"/>
    <w:qFormat/>
    <w:rsid w:val="007D6D19"/>
    <w:pPr>
      <w:ind w:left="284" w:hanging="284"/>
    </w:pPr>
  </w:style>
  <w:style w:type="character" w:customStyle="1" w:styleId="ReferenceResourceChar">
    <w:name w:val="Reference Resource Char"/>
    <w:basedOn w:val="DefaultParagraphFont"/>
    <w:link w:val="ReferenceResource"/>
    <w:rsid w:val="007D6D19"/>
    <w:rPr>
      <w:rFonts w:ascii="Arial" w:hAnsi="Arial" w:cs="Arial"/>
    </w:rPr>
  </w:style>
  <w:style w:type="paragraph" w:customStyle="1" w:styleId="Abbreviations">
    <w:name w:val="Abbreviations"/>
    <w:basedOn w:val="Normal"/>
    <w:link w:val="AbbreviationsChar"/>
    <w:qFormat/>
    <w:rsid w:val="003E2F13"/>
    <w:pPr>
      <w:ind w:left="993" w:hanging="993"/>
    </w:pPr>
  </w:style>
  <w:style w:type="character" w:customStyle="1" w:styleId="AbbreviationsChar">
    <w:name w:val="Abbreviations Char"/>
    <w:basedOn w:val="DefaultParagraphFont"/>
    <w:link w:val="Abbreviations"/>
    <w:rsid w:val="003E2F13"/>
    <w:rPr>
      <w:rFonts w:ascii="Arial" w:hAnsi="Arial" w:cs="Arial"/>
    </w:rPr>
  </w:style>
  <w:style w:type="paragraph" w:customStyle="1" w:styleId="BoxedText">
    <w:name w:val="Boxed Text"/>
    <w:basedOn w:val="Normal"/>
    <w:link w:val="BoxedTextChar"/>
    <w:qFormat/>
    <w:rsid w:val="00F42593"/>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pPr>
    <w:rPr>
      <w:i/>
    </w:rPr>
  </w:style>
  <w:style w:type="paragraph" w:styleId="FootnoteText">
    <w:name w:val="footnote text"/>
    <w:basedOn w:val="Normal"/>
    <w:link w:val="FootnoteTextChar"/>
    <w:uiPriority w:val="99"/>
    <w:semiHidden/>
    <w:unhideWhenUsed/>
    <w:rsid w:val="00695826"/>
    <w:pPr>
      <w:spacing w:after="0" w:line="240" w:lineRule="auto"/>
    </w:pPr>
    <w:rPr>
      <w:sz w:val="20"/>
      <w:szCs w:val="20"/>
    </w:rPr>
  </w:style>
  <w:style w:type="character" w:customStyle="1" w:styleId="BoxedTextChar">
    <w:name w:val="Boxed Text Char"/>
    <w:basedOn w:val="DefaultParagraphFont"/>
    <w:link w:val="BoxedText"/>
    <w:rsid w:val="00F42593"/>
    <w:rPr>
      <w:rFonts w:ascii="Arial" w:hAnsi="Arial" w:cs="Arial"/>
      <w:i/>
    </w:rPr>
  </w:style>
  <w:style w:type="character" w:customStyle="1" w:styleId="FootnoteTextChar">
    <w:name w:val="Footnote Text Char"/>
    <w:basedOn w:val="DefaultParagraphFont"/>
    <w:link w:val="FootnoteText"/>
    <w:uiPriority w:val="99"/>
    <w:semiHidden/>
    <w:rsid w:val="00695826"/>
    <w:rPr>
      <w:rFonts w:ascii="Arial" w:hAnsi="Arial" w:cs="Arial"/>
      <w:sz w:val="20"/>
      <w:szCs w:val="20"/>
    </w:rPr>
  </w:style>
  <w:style w:type="character" w:styleId="FootnoteReference">
    <w:name w:val="footnote reference"/>
    <w:basedOn w:val="DefaultParagraphFont"/>
    <w:uiPriority w:val="99"/>
    <w:semiHidden/>
    <w:unhideWhenUsed/>
    <w:rsid w:val="00695826"/>
    <w:rPr>
      <w:vertAlign w:val="superscript"/>
    </w:rPr>
  </w:style>
  <w:style w:type="paragraph" w:styleId="Subtitle">
    <w:name w:val="Subtitle"/>
    <w:basedOn w:val="Normal"/>
    <w:next w:val="Normal"/>
    <w:link w:val="SubtitleChar"/>
    <w:uiPriority w:val="11"/>
    <w:qFormat/>
    <w:rsid w:val="00A54442"/>
    <w:pPr>
      <w:numPr>
        <w:ilvl w:val="1"/>
      </w:numPr>
      <w:pBdr>
        <w:bottom w:val="single" w:sz="4" w:space="1" w:color="auto"/>
      </w:pBdr>
      <w:jc w:val="center"/>
    </w:pPr>
    <w:rPr>
      <w:rFonts w:asciiTheme="minorHAnsi" w:eastAsiaTheme="minorEastAsia" w:hAnsiTheme="minorHAnsi" w:cstheme="minorBidi"/>
      <w:b/>
      <w:smallCaps/>
      <w:spacing w:val="30"/>
      <w:sz w:val="24"/>
      <w:szCs w:val="24"/>
    </w:rPr>
  </w:style>
  <w:style w:type="character" w:customStyle="1" w:styleId="SubtitleChar">
    <w:name w:val="Subtitle Char"/>
    <w:basedOn w:val="DefaultParagraphFont"/>
    <w:link w:val="Subtitle"/>
    <w:uiPriority w:val="11"/>
    <w:rsid w:val="00A54442"/>
    <w:rPr>
      <w:rFonts w:eastAsiaTheme="minorEastAsia"/>
      <w:b/>
      <w:smallCaps/>
      <w:spacing w:val="30"/>
      <w:sz w:val="24"/>
      <w:szCs w:val="24"/>
    </w:rPr>
  </w:style>
  <w:style w:type="paragraph" w:customStyle="1" w:styleId="Departmentof">
    <w:name w:val="Department of"/>
    <w:rsid w:val="009B2E70"/>
    <w:pPr>
      <w:spacing w:after="0" w:line="240" w:lineRule="auto"/>
    </w:pPr>
    <w:rPr>
      <w:rFonts w:ascii="Lato Regular" w:hAnsi="Lato Regular" w:cs="Lato Regular"/>
      <w:caps/>
      <w:color w:val="231F20"/>
      <w:sz w:val="24"/>
      <w:szCs w:val="24"/>
      <w:u w:color="000000"/>
      <w:lang w:val="en-US" w:eastAsia="ja-JP"/>
    </w:rPr>
  </w:style>
  <w:style w:type="table" w:styleId="TableGrid">
    <w:name w:val="Table Grid"/>
    <w:basedOn w:val="TableNormal"/>
    <w:uiPriority w:val="59"/>
    <w:rsid w:val="009B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815B1A"/>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DB"/>
    <w:rPr>
      <w:rFonts w:ascii="Lato" w:hAnsi="Lato" w:cs="Arial"/>
    </w:rPr>
  </w:style>
  <w:style w:type="paragraph" w:styleId="Heading1">
    <w:name w:val="heading 1"/>
    <w:basedOn w:val="Normal"/>
    <w:next w:val="Normal"/>
    <w:link w:val="Heading1Char"/>
    <w:uiPriority w:val="9"/>
    <w:qFormat/>
    <w:rsid w:val="005177DB"/>
    <w:pPr>
      <w:spacing w:before="120" w:after="240"/>
      <w:outlineLvl w:val="0"/>
    </w:pPr>
    <w:rPr>
      <w:b/>
      <w:caps/>
      <w:color w:val="CB6015"/>
      <w:spacing w:val="10"/>
      <w:sz w:val="28"/>
    </w:rPr>
  </w:style>
  <w:style w:type="paragraph" w:styleId="Heading2">
    <w:name w:val="heading 2"/>
    <w:basedOn w:val="ListParagraph"/>
    <w:next w:val="Normal"/>
    <w:link w:val="Heading2Char"/>
    <w:uiPriority w:val="9"/>
    <w:unhideWhenUsed/>
    <w:qFormat/>
    <w:rsid w:val="00FB0F85"/>
    <w:pPr>
      <w:numPr>
        <w:numId w:val="3"/>
      </w:numPr>
      <w:ind w:left="454" w:hanging="454"/>
      <w:outlineLvl w:val="1"/>
    </w:pPr>
    <w:rPr>
      <w:rFonts w:ascii="Arial Bold" w:hAnsi="Arial Bold"/>
      <w:b/>
      <w:smallCaps/>
      <w:sz w:val="24"/>
    </w:rPr>
  </w:style>
  <w:style w:type="paragraph" w:styleId="Heading3">
    <w:name w:val="heading 3"/>
    <w:basedOn w:val="ListParagraph"/>
    <w:next w:val="Normal"/>
    <w:link w:val="Heading3Char"/>
    <w:uiPriority w:val="9"/>
    <w:unhideWhenUsed/>
    <w:qFormat/>
    <w:rsid w:val="002B6623"/>
    <w:pPr>
      <w:numPr>
        <w:ilvl w:val="1"/>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78"/>
  </w:style>
  <w:style w:type="paragraph" w:styleId="Footer">
    <w:name w:val="footer"/>
    <w:basedOn w:val="Normal"/>
    <w:link w:val="FooterChar"/>
    <w:uiPriority w:val="99"/>
    <w:unhideWhenUsed/>
    <w:rsid w:val="00D4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78"/>
  </w:style>
  <w:style w:type="paragraph" w:styleId="Title">
    <w:name w:val="Title"/>
    <w:basedOn w:val="Normal"/>
    <w:next w:val="Normal"/>
    <w:link w:val="TitleChar"/>
    <w:uiPriority w:val="10"/>
    <w:qFormat/>
    <w:rsid w:val="00030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2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77DB"/>
    <w:rPr>
      <w:rFonts w:ascii="Lato" w:hAnsi="Lato" w:cs="Arial"/>
      <w:b/>
      <w:caps/>
      <w:color w:val="CB6015"/>
      <w:spacing w:val="10"/>
      <w:sz w:val="28"/>
    </w:rPr>
  </w:style>
  <w:style w:type="paragraph" w:styleId="NoSpacing">
    <w:name w:val="No Spacing"/>
    <w:uiPriority w:val="1"/>
    <w:qFormat/>
    <w:rsid w:val="006974C2"/>
    <w:pPr>
      <w:spacing w:after="0" w:line="240" w:lineRule="auto"/>
    </w:pPr>
    <w:rPr>
      <w:rFonts w:ascii="Arial" w:hAnsi="Arial" w:cs="Arial"/>
    </w:rPr>
  </w:style>
  <w:style w:type="paragraph" w:styleId="ListParagraph">
    <w:name w:val="List Paragraph"/>
    <w:basedOn w:val="Normal"/>
    <w:uiPriority w:val="34"/>
    <w:qFormat/>
    <w:rsid w:val="002B6623"/>
    <w:pPr>
      <w:ind w:left="720"/>
      <w:contextualSpacing/>
    </w:pPr>
  </w:style>
  <w:style w:type="character" w:customStyle="1" w:styleId="Heading2Char">
    <w:name w:val="Heading 2 Char"/>
    <w:basedOn w:val="DefaultParagraphFont"/>
    <w:link w:val="Heading2"/>
    <w:uiPriority w:val="9"/>
    <w:rsid w:val="00FB0F85"/>
    <w:rPr>
      <w:rFonts w:ascii="Arial Bold" w:hAnsi="Arial Bold" w:cs="Arial"/>
      <w:b/>
      <w:smallCaps/>
      <w:sz w:val="24"/>
    </w:rPr>
  </w:style>
  <w:style w:type="character" w:customStyle="1" w:styleId="Heading3Char">
    <w:name w:val="Heading 3 Char"/>
    <w:basedOn w:val="DefaultParagraphFont"/>
    <w:link w:val="Heading3"/>
    <w:uiPriority w:val="9"/>
    <w:rsid w:val="002B6623"/>
    <w:rPr>
      <w:rFonts w:ascii="Arial" w:hAnsi="Arial" w:cs="Arial"/>
      <w:b/>
    </w:rPr>
  </w:style>
  <w:style w:type="paragraph" w:styleId="TOCHeading">
    <w:name w:val="TOC Heading"/>
    <w:basedOn w:val="Heading1"/>
    <w:next w:val="Normal"/>
    <w:uiPriority w:val="39"/>
    <w:unhideWhenUsed/>
    <w:qFormat/>
    <w:rsid w:val="00807B8A"/>
  </w:style>
  <w:style w:type="paragraph" w:styleId="TOC1">
    <w:name w:val="toc 1"/>
    <w:basedOn w:val="Normal"/>
    <w:next w:val="Normal"/>
    <w:autoRedefine/>
    <w:uiPriority w:val="39"/>
    <w:unhideWhenUsed/>
    <w:rsid w:val="00C22D79"/>
    <w:pPr>
      <w:tabs>
        <w:tab w:val="right" w:leader="dot" w:pos="9016"/>
      </w:tabs>
      <w:spacing w:before="240" w:after="120"/>
      <w:jc w:val="center"/>
    </w:pPr>
    <w:rPr>
      <w:rFonts w:asciiTheme="minorHAnsi" w:hAnsiTheme="minorHAnsi"/>
      <w:b/>
      <w:bCs/>
      <w:caps/>
      <w:noProof/>
    </w:rPr>
  </w:style>
  <w:style w:type="paragraph" w:styleId="TOC2">
    <w:name w:val="toc 2"/>
    <w:basedOn w:val="Normal"/>
    <w:next w:val="Normal"/>
    <w:autoRedefine/>
    <w:uiPriority w:val="39"/>
    <w:unhideWhenUsed/>
    <w:rsid w:val="005A53C4"/>
    <w:pPr>
      <w:tabs>
        <w:tab w:val="left" w:pos="390"/>
        <w:tab w:val="right" w:leader="dot" w:pos="9016"/>
      </w:tabs>
      <w:spacing w:before="120" w:after="0"/>
    </w:pPr>
    <w:rPr>
      <w:rFonts w:asciiTheme="minorHAnsi" w:hAnsiTheme="minorHAnsi"/>
      <w:b/>
      <w:bCs/>
      <w:smallCaps/>
    </w:rPr>
  </w:style>
  <w:style w:type="paragraph" w:styleId="TOC3">
    <w:name w:val="toc 3"/>
    <w:basedOn w:val="Normal"/>
    <w:next w:val="Normal"/>
    <w:autoRedefine/>
    <w:uiPriority w:val="39"/>
    <w:unhideWhenUsed/>
    <w:rsid w:val="005A53C4"/>
    <w:pPr>
      <w:tabs>
        <w:tab w:val="left" w:pos="610"/>
        <w:tab w:val="right" w:leader="dot" w:pos="9016"/>
      </w:tabs>
      <w:spacing w:after="0"/>
    </w:pPr>
    <w:rPr>
      <w:rFonts w:asciiTheme="minorHAnsi" w:hAnsiTheme="minorHAnsi"/>
      <w:smallCaps/>
    </w:rPr>
  </w:style>
  <w:style w:type="character" w:styleId="Hyperlink">
    <w:name w:val="Hyperlink"/>
    <w:basedOn w:val="DefaultParagraphFont"/>
    <w:uiPriority w:val="99"/>
    <w:unhideWhenUsed/>
    <w:rsid w:val="002B6623"/>
    <w:rPr>
      <w:color w:val="0563C1" w:themeColor="hyperlink"/>
      <w:u w:val="single"/>
    </w:rPr>
  </w:style>
  <w:style w:type="paragraph" w:styleId="TOC4">
    <w:name w:val="toc 4"/>
    <w:basedOn w:val="Normal"/>
    <w:next w:val="Normal"/>
    <w:autoRedefine/>
    <w:uiPriority w:val="39"/>
    <w:unhideWhenUsed/>
    <w:rsid w:val="002B6623"/>
    <w:pPr>
      <w:spacing w:after="0"/>
    </w:pPr>
    <w:rPr>
      <w:rFonts w:asciiTheme="minorHAnsi" w:hAnsiTheme="minorHAnsi"/>
    </w:rPr>
  </w:style>
  <w:style w:type="paragraph" w:styleId="TOC5">
    <w:name w:val="toc 5"/>
    <w:basedOn w:val="Normal"/>
    <w:next w:val="Normal"/>
    <w:autoRedefine/>
    <w:uiPriority w:val="39"/>
    <w:unhideWhenUsed/>
    <w:rsid w:val="002B6623"/>
    <w:pPr>
      <w:spacing w:after="0"/>
    </w:pPr>
    <w:rPr>
      <w:rFonts w:asciiTheme="minorHAnsi" w:hAnsiTheme="minorHAnsi"/>
    </w:rPr>
  </w:style>
  <w:style w:type="paragraph" w:styleId="TOC6">
    <w:name w:val="toc 6"/>
    <w:basedOn w:val="Normal"/>
    <w:next w:val="Normal"/>
    <w:autoRedefine/>
    <w:uiPriority w:val="39"/>
    <w:unhideWhenUsed/>
    <w:rsid w:val="002B6623"/>
    <w:pPr>
      <w:spacing w:after="0"/>
    </w:pPr>
    <w:rPr>
      <w:rFonts w:asciiTheme="minorHAnsi" w:hAnsiTheme="minorHAnsi"/>
    </w:rPr>
  </w:style>
  <w:style w:type="paragraph" w:styleId="TOC7">
    <w:name w:val="toc 7"/>
    <w:basedOn w:val="Normal"/>
    <w:next w:val="Normal"/>
    <w:autoRedefine/>
    <w:uiPriority w:val="39"/>
    <w:unhideWhenUsed/>
    <w:rsid w:val="002B6623"/>
    <w:pPr>
      <w:spacing w:after="0"/>
    </w:pPr>
    <w:rPr>
      <w:rFonts w:asciiTheme="minorHAnsi" w:hAnsiTheme="minorHAnsi"/>
    </w:rPr>
  </w:style>
  <w:style w:type="paragraph" w:styleId="TOC8">
    <w:name w:val="toc 8"/>
    <w:basedOn w:val="Normal"/>
    <w:next w:val="Normal"/>
    <w:autoRedefine/>
    <w:uiPriority w:val="39"/>
    <w:unhideWhenUsed/>
    <w:rsid w:val="002B6623"/>
    <w:pPr>
      <w:spacing w:after="0"/>
    </w:pPr>
    <w:rPr>
      <w:rFonts w:asciiTheme="minorHAnsi" w:hAnsiTheme="minorHAnsi"/>
    </w:rPr>
  </w:style>
  <w:style w:type="paragraph" w:styleId="TOC9">
    <w:name w:val="toc 9"/>
    <w:basedOn w:val="Normal"/>
    <w:next w:val="Normal"/>
    <w:autoRedefine/>
    <w:uiPriority w:val="39"/>
    <w:unhideWhenUsed/>
    <w:rsid w:val="002B6623"/>
    <w:pPr>
      <w:spacing w:after="0"/>
    </w:pPr>
    <w:rPr>
      <w:rFonts w:asciiTheme="minorHAnsi" w:hAnsiTheme="minorHAnsi"/>
    </w:rPr>
  </w:style>
  <w:style w:type="paragraph" w:styleId="BalloonText">
    <w:name w:val="Balloon Text"/>
    <w:basedOn w:val="Normal"/>
    <w:link w:val="BalloonTextChar"/>
    <w:uiPriority w:val="99"/>
    <w:semiHidden/>
    <w:unhideWhenUsed/>
    <w:rsid w:val="0079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25"/>
    <w:rPr>
      <w:rFonts w:ascii="Segoe UI" w:hAnsi="Segoe UI" w:cs="Segoe UI"/>
      <w:sz w:val="18"/>
      <w:szCs w:val="18"/>
    </w:rPr>
  </w:style>
  <w:style w:type="paragraph" w:customStyle="1" w:styleId="ReferenceResource">
    <w:name w:val="Reference Resource"/>
    <w:basedOn w:val="Normal"/>
    <w:link w:val="ReferenceResourceChar"/>
    <w:qFormat/>
    <w:rsid w:val="007D6D19"/>
    <w:pPr>
      <w:ind w:left="284" w:hanging="284"/>
    </w:pPr>
  </w:style>
  <w:style w:type="character" w:customStyle="1" w:styleId="ReferenceResourceChar">
    <w:name w:val="Reference Resource Char"/>
    <w:basedOn w:val="DefaultParagraphFont"/>
    <w:link w:val="ReferenceResource"/>
    <w:rsid w:val="007D6D19"/>
    <w:rPr>
      <w:rFonts w:ascii="Arial" w:hAnsi="Arial" w:cs="Arial"/>
    </w:rPr>
  </w:style>
  <w:style w:type="paragraph" w:customStyle="1" w:styleId="Abbreviations">
    <w:name w:val="Abbreviations"/>
    <w:basedOn w:val="Normal"/>
    <w:link w:val="AbbreviationsChar"/>
    <w:qFormat/>
    <w:rsid w:val="003E2F13"/>
    <w:pPr>
      <w:ind w:left="993" w:hanging="993"/>
    </w:pPr>
  </w:style>
  <w:style w:type="character" w:customStyle="1" w:styleId="AbbreviationsChar">
    <w:name w:val="Abbreviations Char"/>
    <w:basedOn w:val="DefaultParagraphFont"/>
    <w:link w:val="Abbreviations"/>
    <w:rsid w:val="003E2F13"/>
    <w:rPr>
      <w:rFonts w:ascii="Arial" w:hAnsi="Arial" w:cs="Arial"/>
    </w:rPr>
  </w:style>
  <w:style w:type="paragraph" w:customStyle="1" w:styleId="BoxedText">
    <w:name w:val="Boxed Text"/>
    <w:basedOn w:val="Normal"/>
    <w:link w:val="BoxedTextChar"/>
    <w:qFormat/>
    <w:rsid w:val="00F42593"/>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pPr>
    <w:rPr>
      <w:i/>
    </w:rPr>
  </w:style>
  <w:style w:type="paragraph" w:styleId="FootnoteText">
    <w:name w:val="footnote text"/>
    <w:basedOn w:val="Normal"/>
    <w:link w:val="FootnoteTextChar"/>
    <w:uiPriority w:val="99"/>
    <w:semiHidden/>
    <w:unhideWhenUsed/>
    <w:rsid w:val="00695826"/>
    <w:pPr>
      <w:spacing w:after="0" w:line="240" w:lineRule="auto"/>
    </w:pPr>
    <w:rPr>
      <w:sz w:val="20"/>
      <w:szCs w:val="20"/>
    </w:rPr>
  </w:style>
  <w:style w:type="character" w:customStyle="1" w:styleId="BoxedTextChar">
    <w:name w:val="Boxed Text Char"/>
    <w:basedOn w:val="DefaultParagraphFont"/>
    <w:link w:val="BoxedText"/>
    <w:rsid w:val="00F42593"/>
    <w:rPr>
      <w:rFonts w:ascii="Arial" w:hAnsi="Arial" w:cs="Arial"/>
      <w:i/>
    </w:rPr>
  </w:style>
  <w:style w:type="character" w:customStyle="1" w:styleId="FootnoteTextChar">
    <w:name w:val="Footnote Text Char"/>
    <w:basedOn w:val="DefaultParagraphFont"/>
    <w:link w:val="FootnoteText"/>
    <w:uiPriority w:val="99"/>
    <w:semiHidden/>
    <w:rsid w:val="00695826"/>
    <w:rPr>
      <w:rFonts w:ascii="Arial" w:hAnsi="Arial" w:cs="Arial"/>
      <w:sz w:val="20"/>
      <w:szCs w:val="20"/>
    </w:rPr>
  </w:style>
  <w:style w:type="character" w:styleId="FootnoteReference">
    <w:name w:val="footnote reference"/>
    <w:basedOn w:val="DefaultParagraphFont"/>
    <w:uiPriority w:val="99"/>
    <w:semiHidden/>
    <w:unhideWhenUsed/>
    <w:rsid w:val="00695826"/>
    <w:rPr>
      <w:vertAlign w:val="superscript"/>
    </w:rPr>
  </w:style>
  <w:style w:type="paragraph" w:styleId="Subtitle">
    <w:name w:val="Subtitle"/>
    <w:basedOn w:val="Normal"/>
    <w:next w:val="Normal"/>
    <w:link w:val="SubtitleChar"/>
    <w:uiPriority w:val="11"/>
    <w:qFormat/>
    <w:rsid w:val="00A54442"/>
    <w:pPr>
      <w:numPr>
        <w:ilvl w:val="1"/>
      </w:numPr>
      <w:pBdr>
        <w:bottom w:val="single" w:sz="4" w:space="1" w:color="auto"/>
      </w:pBdr>
      <w:jc w:val="center"/>
    </w:pPr>
    <w:rPr>
      <w:rFonts w:asciiTheme="minorHAnsi" w:eastAsiaTheme="minorEastAsia" w:hAnsiTheme="minorHAnsi" w:cstheme="minorBidi"/>
      <w:b/>
      <w:smallCaps/>
      <w:spacing w:val="30"/>
      <w:sz w:val="24"/>
      <w:szCs w:val="24"/>
    </w:rPr>
  </w:style>
  <w:style w:type="character" w:customStyle="1" w:styleId="SubtitleChar">
    <w:name w:val="Subtitle Char"/>
    <w:basedOn w:val="DefaultParagraphFont"/>
    <w:link w:val="Subtitle"/>
    <w:uiPriority w:val="11"/>
    <w:rsid w:val="00A54442"/>
    <w:rPr>
      <w:rFonts w:eastAsiaTheme="minorEastAsia"/>
      <w:b/>
      <w:smallCaps/>
      <w:spacing w:val="30"/>
      <w:sz w:val="24"/>
      <w:szCs w:val="24"/>
    </w:rPr>
  </w:style>
  <w:style w:type="paragraph" w:customStyle="1" w:styleId="Departmentof">
    <w:name w:val="Department of"/>
    <w:rsid w:val="009B2E70"/>
    <w:pPr>
      <w:spacing w:after="0" w:line="240" w:lineRule="auto"/>
    </w:pPr>
    <w:rPr>
      <w:rFonts w:ascii="Lato Regular" w:hAnsi="Lato Regular" w:cs="Lato Regular"/>
      <w:caps/>
      <w:color w:val="231F20"/>
      <w:sz w:val="24"/>
      <w:szCs w:val="24"/>
      <w:u w:color="000000"/>
      <w:lang w:val="en-US" w:eastAsia="ja-JP"/>
    </w:rPr>
  </w:style>
  <w:style w:type="table" w:styleId="TableGrid">
    <w:name w:val="Table Grid"/>
    <w:basedOn w:val="TableNormal"/>
    <w:uiPriority w:val="59"/>
    <w:rsid w:val="009B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815B1A"/>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7627">
      <w:bodyDiv w:val="1"/>
      <w:marLeft w:val="0"/>
      <w:marRight w:val="0"/>
      <w:marTop w:val="0"/>
      <w:marBottom w:val="0"/>
      <w:divBdr>
        <w:top w:val="none" w:sz="0" w:space="0" w:color="auto"/>
        <w:left w:val="none" w:sz="0" w:space="0" w:color="auto"/>
        <w:bottom w:val="none" w:sz="0" w:space="0" w:color="auto"/>
        <w:right w:val="none" w:sz="0" w:space="0" w:color="auto"/>
      </w:divBdr>
    </w:div>
    <w:div w:id="532157631">
      <w:bodyDiv w:val="1"/>
      <w:marLeft w:val="0"/>
      <w:marRight w:val="0"/>
      <w:marTop w:val="0"/>
      <w:marBottom w:val="0"/>
      <w:divBdr>
        <w:top w:val="none" w:sz="0" w:space="0" w:color="auto"/>
        <w:left w:val="none" w:sz="0" w:space="0" w:color="auto"/>
        <w:bottom w:val="none" w:sz="0" w:space="0" w:color="auto"/>
        <w:right w:val="none" w:sz="0" w:space="0" w:color="auto"/>
      </w:divBdr>
    </w:div>
    <w:div w:id="992220088">
      <w:bodyDiv w:val="1"/>
      <w:marLeft w:val="0"/>
      <w:marRight w:val="0"/>
      <w:marTop w:val="0"/>
      <w:marBottom w:val="0"/>
      <w:divBdr>
        <w:top w:val="none" w:sz="0" w:space="0" w:color="auto"/>
        <w:left w:val="none" w:sz="0" w:space="0" w:color="auto"/>
        <w:bottom w:val="none" w:sz="0" w:space="0" w:color="auto"/>
        <w:right w:val="none" w:sz="0" w:space="0" w:color="auto"/>
      </w:divBdr>
    </w:div>
    <w:div w:id="1009526258">
      <w:bodyDiv w:val="1"/>
      <w:marLeft w:val="0"/>
      <w:marRight w:val="0"/>
      <w:marTop w:val="0"/>
      <w:marBottom w:val="0"/>
      <w:divBdr>
        <w:top w:val="none" w:sz="0" w:space="0" w:color="auto"/>
        <w:left w:val="none" w:sz="0" w:space="0" w:color="auto"/>
        <w:bottom w:val="none" w:sz="0" w:space="0" w:color="auto"/>
        <w:right w:val="none" w:sz="0" w:space="0" w:color="auto"/>
      </w:divBdr>
    </w:div>
    <w:div w:id="1078014524">
      <w:bodyDiv w:val="1"/>
      <w:marLeft w:val="0"/>
      <w:marRight w:val="0"/>
      <w:marTop w:val="0"/>
      <w:marBottom w:val="0"/>
      <w:divBdr>
        <w:top w:val="none" w:sz="0" w:space="0" w:color="auto"/>
        <w:left w:val="none" w:sz="0" w:space="0" w:color="auto"/>
        <w:bottom w:val="none" w:sz="0" w:space="0" w:color="auto"/>
        <w:right w:val="none" w:sz="0" w:space="0" w:color="auto"/>
      </w:divBdr>
    </w:div>
    <w:div w:id="17288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258BBE-841B-4CF5-A45E-C4ECA16AD18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BDC5-1189-4F02-89D7-FDFB56FF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11472</Words>
  <Characters>65394</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Grants Management Framework</vt:lpstr>
    </vt:vector>
  </TitlesOfParts>
  <Company>NTG</Company>
  <LinksUpToDate>false</LinksUpToDate>
  <CharactersWithSpaces>76713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Management Framework</dc:title>
  <dc:creator>Northern Territory Government</dc:creator>
  <cp:lastModifiedBy>Samantha Cubillo</cp:lastModifiedBy>
  <cp:revision>2</cp:revision>
  <cp:lastPrinted>2014-07-25T03:17:00Z</cp:lastPrinted>
  <dcterms:created xsi:type="dcterms:W3CDTF">2017-03-14T02:06:00Z</dcterms:created>
  <dcterms:modified xsi:type="dcterms:W3CDTF">2017-03-14T02:06:00Z</dcterms:modified>
</cp:coreProperties>
</file>