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34" w:rsidRDefault="00EB2A8C">
      <w:pPr>
        <w:pStyle w:val="Body"/>
        <w:keepNext/>
        <w:pBdr>
          <w:bottom w:val="single" w:sz="12" w:space="0" w:color="000000"/>
        </w:pBdr>
        <w:spacing w:after="120" w:line="360" w:lineRule="auto"/>
        <w:jc w:val="center"/>
        <w:outlineLvl w:val="0"/>
        <w:rPr>
          <w:rFonts w:ascii="Arial" w:eastAsia="Arial" w:hAnsi="Arial" w:cs="Arial"/>
          <w:b/>
          <w:bCs/>
          <w:kern w:val="32"/>
          <w:sz w:val="32"/>
          <w:szCs w:val="32"/>
        </w:rPr>
      </w:pPr>
      <w:r>
        <w:rPr>
          <w:rFonts w:ascii="Arial" w:hAnsi="Arial"/>
          <w:b/>
          <w:bCs/>
          <w:kern w:val="32"/>
          <w:sz w:val="32"/>
          <w:szCs w:val="32"/>
          <w:lang w:val="en-US"/>
        </w:rPr>
        <w:t>Reasons for Decision</w:t>
      </w:r>
    </w:p>
    <w:p w:rsidR="00445434" w:rsidRPr="00EB2A8C" w:rsidRDefault="00EB2A8C">
      <w:pPr>
        <w:pStyle w:val="Body"/>
        <w:spacing w:after="200"/>
        <w:ind w:left="2835" w:hanging="2835"/>
        <w:outlineLvl w:val="0"/>
        <w:rPr>
          <w:rFonts w:ascii="Arial" w:eastAsia="Arial" w:hAnsi="Arial" w:cs="Arial"/>
        </w:rPr>
      </w:pPr>
      <w:r>
        <w:rPr>
          <w:rFonts w:ascii="Arial" w:hAnsi="Arial"/>
          <w:b/>
          <w:bCs/>
        </w:rPr>
        <w:t>Complainant/Applicant:</w:t>
      </w:r>
      <w:r>
        <w:rPr>
          <w:rFonts w:ascii="Arial" w:hAnsi="Arial"/>
          <w:b/>
          <w:bCs/>
        </w:rPr>
        <w:tab/>
      </w:r>
      <w:r w:rsidRPr="00EB2A8C">
        <w:rPr>
          <w:rFonts w:ascii="Arial" w:hAnsi="Arial"/>
          <w:bCs/>
          <w:lang w:val="en-US"/>
        </w:rPr>
        <w:t xml:space="preserve">Mr </w:t>
      </w:r>
      <w:r w:rsidR="00F80A91">
        <w:rPr>
          <w:rFonts w:ascii="Arial" w:hAnsi="Arial"/>
          <w:bCs/>
          <w:lang w:val="en-US"/>
        </w:rPr>
        <w:t>W</w:t>
      </w:r>
    </w:p>
    <w:p w:rsidR="00445434" w:rsidRPr="00EB2A8C" w:rsidRDefault="00EB2A8C">
      <w:pPr>
        <w:pStyle w:val="Body"/>
        <w:spacing w:after="200"/>
        <w:ind w:left="2835" w:hanging="2835"/>
        <w:outlineLvl w:val="0"/>
        <w:rPr>
          <w:rFonts w:ascii="Arial" w:eastAsia="Arial" w:hAnsi="Arial" w:cs="Arial"/>
        </w:rPr>
      </w:pPr>
      <w:r>
        <w:rPr>
          <w:rFonts w:ascii="Arial" w:hAnsi="Arial"/>
          <w:b/>
          <w:bCs/>
        </w:rPr>
        <w:t>Licensee</w:t>
      </w:r>
      <w:r>
        <w:rPr>
          <w:rFonts w:ascii="Arial" w:hAnsi="Arial"/>
          <w:b/>
          <w:bCs/>
          <w:lang w:val="en-US"/>
        </w:rPr>
        <w:t>:</w:t>
      </w:r>
      <w:r>
        <w:rPr>
          <w:rFonts w:ascii="Arial" w:hAnsi="Arial"/>
          <w:b/>
          <w:bCs/>
          <w:lang w:val="en-US"/>
        </w:rPr>
        <w:tab/>
      </w:r>
      <w:proofErr w:type="spellStart"/>
      <w:r w:rsidRPr="00EB2A8C">
        <w:rPr>
          <w:rFonts w:ascii="Arial" w:hAnsi="Arial"/>
          <w:bCs/>
          <w:lang w:val="en-US"/>
        </w:rPr>
        <w:t>CrownBet</w:t>
      </w:r>
      <w:proofErr w:type="spellEnd"/>
      <w:r w:rsidR="00B418CA">
        <w:rPr>
          <w:rFonts w:ascii="Arial" w:hAnsi="Arial"/>
          <w:bCs/>
          <w:lang w:val="en-US"/>
        </w:rPr>
        <w:t xml:space="preserve"> Pty Ltd</w:t>
      </w:r>
    </w:p>
    <w:p w:rsidR="00445434" w:rsidRDefault="00EB2A8C">
      <w:pPr>
        <w:pStyle w:val="Body"/>
        <w:spacing w:after="200"/>
        <w:ind w:left="2835" w:hanging="2835"/>
        <w:rPr>
          <w:rFonts w:ascii="Arial" w:eastAsia="Arial" w:hAnsi="Arial" w:cs="Arial"/>
        </w:rPr>
      </w:pPr>
      <w:r>
        <w:rPr>
          <w:rFonts w:ascii="Arial" w:hAnsi="Arial"/>
          <w:b/>
          <w:bCs/>
          <w:lang w:val="nl-NL"/>
        </w:rPr>
        <w:t>Proceedings</w:t>
      </w:r>
      <w:r>
        <w:rPr>
          <w:rFonts w:ascii="Arial" w:hAnsi="Arial"/>
          <w:b/>
          <w:bCs/>
          <w:lang w:val="en-US"/>
        </w:rPr>
        <w:t>:</w:t>
      </w:r>
      <w:r>
        <w:rPr>
          <w:rFonts w:ascii="Arial" w:hAnsi="Arial"/>
          <w:b/>
          <w:bCs/>
          <w:lang w:val="en-US"/>
        </w:rPr>
        <w:tab/>
      </w:r>
      <w:r w:rsidR="00B418CA" w:rsidRPr="005463CA">
        <w:rPr>
          <w:rFonts w:ascii="Arial" w:hAnsi="Arial" w:cs="Arial"/>
        </w:rPr>
        <w:t>Pursu</w:t>
      </w:r>
      <w:r w:rsidR="00B418CA">
        <w:rPr>
          <w:rFonts w:ascii="Arial" w:hAnsi="Arial" w:cs="Arial"/>
        </w:rPr>
        <w:t>ant t</w:t>
      </w:r>
      <w:r w:rsidR="00B418CA" w:rsidRPr="005463CA">
        <w:rPr>
          <w:rFonts w:ascii="Arial" w:hAnsi="Arial" w:cs="Arial"/>
        </w:rPr>
        <w:t>o Section</w:t>
      </w:r>
      <w:r w:rsidR="00B418CA">
        <w:rPr>
          <w:rFonts w:ascii="Arial" w:hAnsi="Arial" w:cs="Arial"/>
        </w:rPr>
        <w:t xml:space="preserve"> 85(4)</w:t>
      </w:r>
      <w:r w:rsidR="00B418CA" w:rsidRPr="005463CA">
        <w:rPr>
          <w:rFonts w:ascii="Arial" w:hAnsi="Arial" w:cs="Arial"/>
        </w:rPr>
        <w:t xml:space="preserve"> </w:t>
      </w:r>
      <w:r w:rsidR="00B418CA">
        <w:rPr>
          <w:rFonts w:ascii="Arial" w:hAnsi="Arial" w:cs="Arial"/>
        </w:rPr>
        <w:t>o</w:t>
      </w:r>
      <w:r w:rsidR="00B418CA" w:rsidRPr="005463CA">
        <w:rPr>
          <w:rFonts w:ascii="Arial" w:hAnsi="Arial" w:cs="Arial"/>
        </w:rPr>
        <w:t xml:space="preserve">f </w:t>
      </w:r>
      <w:r w:rsidR="00B418CA">
        <w:rPr>
          <w:rFonts w:ascii="Arial" w:hAnsi="Arial" w:cs="Arial"/>
        </w:rPr>
        <w:t>t</w:t>
      </w:r>
      <w:r w:rsidR="00B418CA" w:rsidRPr="005463CA">
        <w:rPr>
          <w:rFonts w:ascii="Arial" w:hAnsi="Arial" w:cs="Arial"/>
        </w:rPr>
        <w:t xml:space="preserve">he </w:t>
      </w:r>
      <w:r w:rsidR="00B418CA">
        <w:rPr>
          <w:rFonts w:ascii="Arial" w:hAnsi="Arial" w:cs="Arial"/>
          <w:i/>
        </w:rPr>
        <w:t>Racing a</w:t>
      </w:r>
      <w:r w:rsidR="00B418CA" w:rsidRPr="005463CA">
        <w:rPr>
          <w:rFonts w:ascii="Arial" w:hAnsi="Arial" w:cs="Arial"/>
          <w:i/>
        </w:rPr>
        <w:t xml:space="preserve">nd Betting </w:t>
      </w:r>
      <w:r w:rsidR="00B418CA">
        <w:rPr>
          <w:rFonts w:ascii="Arial" w:hAnsi="Arial" w:cs="Arial"/>
          <w:i/>
        </w:rPr>
        <w:t>Act</w:t>
      </w:r>
      <w:r w:rsidR="00B418CA" w:rsidRPr="005463CA">
        <w:rPr>
          <w:rFonts w:ascii="Arial" w:hAnsi="Arial" w:cs="Arial"/>
        </w:rPr>
        <w:t xml:space="preserve"> –</w:t>
      </w:r>
      <w:r w:rsidR="00B418CA">
        <w:rPr>
          <w:rFonts w:ascii="Arial" w:hAnsi="Arial" w:cs="Arial"/>
        </w:rPr>
        <w:t xml:space="preserve"> </w:t>
      </w:r>
      <w:r w:rsidR="00B418CA">
        <w:rPr>
          <w:rFonts w:ascii="Arial" w:hAnsi="Arial" w:cs="Arial"/>
        </w:rPr>
        <w:br/>
        <w:t>Referral of dispute to Racing Commission for determination</w:t>
      </w:r>
    </w:p>
    <w:p w:rsidR="00445434" w:rsidRDefault="00EB2A8C">
      <w:pPr>
        <w:pStyle w:val="Body"/>
        <w:ind w:left="2835" w:hanging="2835"/>
        <w:rPr>
          <w:rFonts w:ascii="Arial" w:eastAsia="Arial" w:hAnsi="Arial" w:cs="Arial"/>
          <w:shd w:val="clear" w:color="auto" w:fill="FFFF00"/>
        </w:rPr>
      </w:pPr>
      <w:r>
        <w:rPr>
          <w:rFonts w:ascii="Arial" w:hAnsi="Arial"/>
          <w:b/>
          <w:bCs/>
          <w:lang w:val="en-US"/>
        </w:rPr>
        <w:t>Heard Before:</w:t>
      </w:r>
      <w:r>
        <w:rPr>
          <w:rFonts w:ascii="Arial" w:hAnsi="Arial"/>
          <w:b/>
          <w:bCs/>
          <w:lang w:val="en-US"/>
        </w:rPr>
        <w:tab/>
      </w:r>
      <w:r w:rsidRPr="00EB2A8C">
        <w:rPr>
          <w:rFonts w:ascii="Arial" w:hAnsi="Arial"/>
          <w:bCs/>
          <w:lang w:val="en-US"/>
        </w:rPr>
        <w:t xml:space="preserve">Mr David </w:t>
      </w:r>
      <w:r w:rsidR="00B418CA">
        <w:rPr>
          <w:rFonts w:ascii="Arial" w:hAnsi="Arial"/>
          <w:bCs/>
          <w:lang w:val="en-US"/>
        </w:rPr>
        <w:t>Loy (presiding member)</w:t>
      </w:r>
    </w:p>
    <w:p w:rsidR="00445434" w:rsidRDefault="00EB2A8C">
      <w:pPr>
        <w:pStyle w:val="Body"/>
        <w:ind w:left="2835" w:hanging="2835"/>
        <w:rPr>
          <w:rFonts w:ascii="Arial" w:eastAsia="Arial" w:hAnsi="Arial" w:cs="Arial"/>
        </w:rPr>
      </w:pPr>
      <w:r>
        <w:rPr>
          <w:rFonts w:ascii="Arial" w:hAnsi="Arial"/>
          <w:b/>
          <w:bCs/>
          <w:lang w:val="fr-FR"/>
        </w:rPr>
        <w:t>(</w:t>
      </w:r>
      <w:proofErr w:type="gramStart"/>
      <w:r>
        <w:rPr>
          <w:rFonts w:ascii="Arial" w:hAnsi="Arial"/>
          <w:b/>
          <w:bCs/>
          <w:lang w:val="fr-FR"/>
        </w:rPr>
        <w:t>on</w:t>
      </w:r>
      <w:proofErr w:type="gramEnd"/>
      <w:r>
        <w:rPr>
          <w:rFonts w:ascii="Arial" w:hAnsi="Arial"/>
          <w:b/>
          <w:bCs/>
          <w:lang w:val="fr-FR"/>
        </w:rPr>
        <w:t xml:space="preserve"> papers)</w:t>
      </w:r>
      <w:r>
        <w:rPr>
          <w:rFonts w:ascii="Arial" w:hAnsi="Arial"/>
          <w:b/>
          <w:bCs/>
          <w:lang w:val="fr-FR"/>
        </w:rPr>
        <w:tab/>
      </w:r>
      <w:r w:rsidRPr="00EB2A8C">
        <w:rPr>
          <w:rFonts w:ascii="Arial" w:hAnsi="Arial"/>
          <w:bCs/>
          <w:lang w:val="en-US"/>
        </w:rPr>
        <w:t>Mr Andrew Maloney</w:t>
      </w:r>
    </w:p>
    <w:p w:rsidR="00445434" w:rsidRDefault="00EB2A8C">
      <w:pPr>
        <w:pStyle w:val="Body"/>
        <w:ind w:left="2835" w:hanging="2835"/>
        <w:rPr>
          <w:rFonts w:ascii="Arial" w:eastAsia="Arial" w:hAnsi="Arial" w:cs="Arial"/>
        </w:rPr>
      </w:pPr>
      <w:r>
        <w:rPr>
          <w:rFonts w:ascii="Arial" w:eastAsia="Arial" w:hAnsi="Arial" w:cs="Arial"/>
          <w:lang w:val="en-US"/>
        </w:rPr>
        <w:tab/>
        <w:t>Mr Jim McNally</w:t>
      </w:r>
    </w:p>
    <w:p w:rsidR="00445434" w:rsidRDefault="00EB2A8C">
      <w:pPr>
        <w:pStyle w:val="Body"/>
        <w:ind w:left="2835" w:hanging="2835"/>
        <w:rPr>
          <w:rFonts w:ascii="Arial" w:eastAsia="Arial" w:hAnsi="Arial" w:cs="Arial"/>
        </w:rPr>
      </w:pPr>
      <w:r>
        <w:rPr>
          <w:rFonts w:ascii="Arial" w:eastAsia="Arial" w:hAnsi="Arial" w:cs="Arial"/>
          <w:b/>
          <w:bCs/>
        </w:rPr>
        <w:tab/>
      </w:r>
    </w:p>
    <w:p w:rsidR="00445434" w:rsidRDefault="00EB2A8C">
      <w:pPr>
        <w:pStyle w:val="Body"/>
        <w:spacing w:after="200"/>
        <w:ind w:left="2835" w:hanging="2835"/>
        <w:rPr>
          <w:rFonts w:ascii="Arial" w:eastAsia="Arial" w:hAnsi="Arial" w:cs="Arial"/>
        </w:rPr>
      </w:pPr>
      <w:r>
        <w:rPr>
          <w:rFonts w:ascii="Arial" w:hAnsi="Arial"/>
          <w:b/>
          <w:bCs/>
          <w:lang w:val="en-US"/>
        </w:rPr>
        <w:t>Date of Decision:</w:t>
      </w:r>
      <w:r>
        <w:rPr>
          <w:rFonts w:ascii="Arial" w:hAnsi="Arial"/>
          <w:b/>
          <w:bCs/>
          <w:lang w:val="en-US"/>
        </w:rPr>
        <w:tab/>
      </w:r>
      <w:r w:rsidR="005E6DDF">
        <w:rPr>
          <w:rFonts w:ascii="Arial" w:hAnsi="Arial"/>
          <w:bCs/>
          <w:lang w:val="en-US"/>
        </w:rPr>
        <w:t>10</w:t>
      </w:r>
      <w:r w:rsidR="005E6DDF" w:rsidRPr="005E6DDF">
        <w:rPr>
          <w:rFonts w:ascii="Arial" w:hAnsi="Arial"/>
          <w:bCs/>
          <w:lang w:val="en-US"/>
        </w:rPr>
        <w:t xml:space="preserve"> </w:t>
      </w:r>
      <w:r w:rsidR="005E6DDF">
        <w:rPr>
          <w:rFonts w:ascii="Arial" w:hAnsi="Arial"/>
          <w:bCs/>
          <w:lang w:val="en-US"/>
        </w:rPr>
        <w:t xml:space="preserve">May </w:t>
      </w:r>
      <w:r>
        <w:rPr>
          <w:rFonts w:ascii="Arial" w:hAnsi="Arial"/>
        </w:rPr>
        <w:t>2018</w:t>
      </w:r>
    </w:p>
    <w:p w:rsidR="00445434" w:rsidRDefault="00445434">
      <w:pPr>
        <w:pStyle w:val="BottomLine"/>
      </w:pPr>
    </w:p>
    <w:p w:rsidR="00445434" w:rsidRDefault="00EB2A8C">
      <w:pPr>
        <w:pStyle w:val="Heading2"/>
        <w:spacing w:before="280" w:line="360" w:lineRule="auto"/>
      </w:pPr>
      <w:r>
        <w:t>Background</w:t>
      </w:r>
    </w:p>
    <w:p w:rsidR="00445434" w:rsidRDefault="00EB2A8C" w:rsidP="00B418CA">
      <w:pPr>
        <w:pStyle w:val="Body"/>
        <w:numPr>
          <w:ilvl w:val="0"/>
          <w:numId w:val="19"/>
        </w:numPr>
        <w:spacing w:before="120" w:after="120"/>
        <w:ind w:left="714" w:hanging="357"/>
        <w:jc w:val="both"/>
        <w:rPr>
          <w:rFonts w:ascii="Arial" w:hAnsi="Arial" w:cs="Arial"/>
          <w:lang w:val="en-US"/>
        </w:rPr>
      </w:pPr>
      <w:r w:rsidRPr="00D66EA8">
        <w:rPr>
          <w:rFonts w:ascii="Arial" w:hAnsi="Arial" w:cs="Arial"/>
          <w:lang w:val="en-US"/>
        </w:rPr>
        <w:t xml:space="preserve">The dispute is between </w:t>
      </w:r>
      <w:r w:rsidR="00F80A91">
        <w:rPr>
          <w:rFonts w:ascii="Arial" w:hAnsi="Arial" w:cs="Arial"/>
          <w:lang w:val="en-US"/>
        </w:rPr>
        <w:t>Mr W</w:t>
      </w:r>
      <w:r w:rsidRPr="00D66EA8">
        <w:rPr>
          <w:rFonts w:ascii="Arial" w:hAnsi="Arial" w:cs="Arial"/>
          <w:lang w:val="en-US"/>
        </w:rPr>
        <w:t xml:space="preserve"> (the Client) and </w:t>
      </w:r>
      <w:proofErr w:type="spellStart"/>
      <w:r w:rsidRPr="00D66EA8">
        <w:rPr>
          <w:rFonts w:ascii="Arial" w:hAnsi="Arial" w:cs="Arial"/>
          <w:lang w:val="en-US"/>
        </w:rPr>
        <w:t>CrownBet</w:t>
      </w:r>
      <w:proofErr w:type="spellEnd"/>
      <w:r w:rsidRPr="00D66EA8">
        <w:rPr>
          <w:rFonts w:ascii="Arial" w:hAnsi="Arial" w:cs="Arial"/>
          <w:lang w:val="en-US"/>
        </w:rPr>
        <w:t xml:space="preserve"> (the Bookmaker)</w:t>
      </w:r>
      <w:r w:rsidR="00B418CA">
        <w:rPr>
          <w:rFonts w:ascii="Arial" w:hAnsi="Arial" w:cs="Arial"/>
          <w:lang w:val="en-US"/>
        </w:rPr>
        <w:t>.</w:t>
      </w:r>
    </w:p>
    <w:p w:rsidR="00AB0F56" w:rsidRPr="00B418CA" w:rsidRDefault="00EB2A8C" w:rsidP="00B418CA">
      <w:pPr>
        <w:pStyle w:val="Body"/>
        <w:numPr>
          <w:ilvl w:val="0"/>
          <w:numId w:val="19"/>
        </w:numPr>
        <w:spacing w:before="120" w:after="120"/>
        <w:ind w:left="714" w:hanging="357"/>
        <w:jc w:val="both"/>
        <w:rPr>
          <w:rFonts w:ascii="Arial" w:hAnsi="Arial" w:cs="Arial"/>
        </w:rPr>
      </w:pPr>
      <w:proofErr w:type="spellStart"/>
      <w:r w:rsidRPr="00AB0F56">
        <w:rPr>
          <w:rFonts w:ascii="Arial" w:hAnsi="Arial" w:cs="Arial"/>
          <w:lang w:val="en-US"/>
        </w:rPr>
        <w:t>CrownBet</w:t>
      </w:r>
      <w:proofErr w:type="spellEnd"/>
      <w:r w:rsidRPr="00AB0F56">
        <w:rPr>
          <w:rFonts w:ascii="Arial" w:hAnsi="Arial" w:cs="Arial"/>
          <w:lang w:val="en-US"/>
        </w:rPr>
        <w:t xml:space="preserve"> is a holder of a license issued by the Northern Ter</w:t>
      </w:r>
      <w:r w:rsidR="00AB0F56" w:rsidRPr="00AB0F56">
        <w:rPr>
          <w:rFonts w:ascii="Arial" w:hAnsi="Arial" w:cs="Arial"/>
          <w:lang w:val="en-US"/>
        </w:rPr>
        <w:t xml:space="preserve">ritory Racing Commission to </w:t>
      </w:r>
      <w:r w:rsidRPr="00AB0F56">
        <w:rPr>
          <w:rFonts w:ascii="Arial" w:hAnsi="Arial" w:cs="Arial"/>
          <w:lang w:val="en-US"/>
        </w:rPr>
        <w:t xml:space="preserve">conduct the business of a sports bookmaker in the Northern </w:t>
      </w:r>
      <w:r w:rsidR="00B418CA">
        <w:rPr>
          <w:rFonts w:ascii="Arial" w:hAnsi="Arial" w:cs="Arial"/>
          <w:lang w:val="en-US"/>
        </w:rPr>
        <w:t>T</w:t>
      </w:r>
      <w:r w:rsidRPr="00AB0F56">
        <w:rPr>
          <w:rFonts w:ascii="Arial" w:hAnsi="Arial" w:cs="Arial"/>
          <w:lang w:val="en-US"/>
        </w:rPr>
        <w:t>erritory</w:t>
      </w:r>
      <w:r w:rsidR="00B418CA">
        <w:rPr>
          <w:rFonts w:ascii="Arial" w:hAnsi="Arial" w:cs="Arial"/>
          <w:lang w:val="en-US"/>
        </w:rPr>
        <w:t>.</w:t>
      </w:r>
    </w:p>
    <w:p w:rsidR="00445434" w:rsidRPr="00AB0F56" w:rsidRDefault="00EB2A8C" w:rsidP="00B418CA">
      <w:pPr>
        <w:pStyle w:val="Body"/>
        <w:numPr>
          <w:ilvl w:val="0"/>
          <w:numId w:val="19"/>
        </w:numPr>
        <w:spacing w:before="120" w:after="120"/>
        <w:ind w:left="714" w:hanging="357"/>
        <w:jc w:val="both"/>
        <w:rPr>
          <w:rFonts w:ascii="Arial" w:hAnsi="Arial" w:cs="Arial"/>
        </w:rPr>
      </w:pPr>
      <w:r w:rsidRPr="00AB0F56">
        <w:rPr>
          <w:rFonts w:ascii="Arial" w:hAnsi="Arial" w:cs="Arial"/>
          <w:lang w:val="en-US"/>
        </w:rPr>
        <w:t>On the 10th October the client lodged a gambli</w:t>
      </w:r>
      <w:bookmarkStart w:id="0" w:name="_GoBack"/>
      <w:bookmarkEnd w:id="0"/>
      <w:r w:rsidRPr="00AB0F56">
        <w:rPr>
          <w:rFonts w:ascii="Arial" w:hAnsi="Arial" w:cs="Arial"/>
          <w:lang w:val="en-US"/>
        </w:rPr>
        <w:t xml:space="preserve">ng dispute against the bookmaker </w:t>
      </w:r>
      <w:r w:rsidR="00AB0F56">
        <w:rPr>
          <w:rFonts w:ascii="Arial" w:hAnsi="Arial" w:cs="Arial"/>
        </w:rPr>
        <w:t>and t</w:t>
      </w:r>
      <w:r w:rsidRPr="00AB0F56">
        <w:rPr>
          <w:rFonts w:ascii="Arial" w:eastAsia="Lato" w:hAnsi="Arial" w:cs="Arial"/>
          <w:lang w:val="en-US"/>
        </w:rPr>
        <w:t>he client</w:t>
      </w:r>
      <w:r w:rsidRPr="00AB0F56">
        <w:rPr>
          <w:rFonts w:ascii="Arial" w:eastAsia="Lato" w:hAnsi="Arial" w:cs="Arial"/>
          <w:lang w:val="fr-FR"/>
        </w:rPr>
        <w:t>’</w:t>
      </w:r>
      <w:r w:rsidRPr="00AB0F56">
        <w:rPr>
          <w:rFonts w:ascii="Arial" w:eastAsia="Lato" w:hAnsi="Arial" w:cs="Arial"/>
          <w:lang w:val="en-US"/>
        </w:rPr>
        <w:t>s initial dispute stated:</w:t>
      </w:r>
    </w:p>
    <w:p w:rsidR="00445434" w:rsidRPr="00D66EA8" w:rsidRDefault="00445434" w:rsidP="006D3A4A">
      <w:pPr>
        <w:pStyle w:val="Body"/>
        <w:jc w:val="both"/>
        <w:rPr>
          <w:rFonts w:ascii="Arial" w:eastAsia="Lato" w:hAnsi="Arial" w:cs="Arial"/>
        </w:rPr>
      </w:pPr>
    </w:p>
    <w:p w:rsidR="00445434" w:rsidRPr="00D66EA8" w:rsidRDefault="00AB0F56" w:rsidP="00B418CA">
      <w:pPr>
        <w:pStyle w:val="Body"/>
        <w:ind w:left="720"/>
        <w:jc w:val="both"/>
        <w:rPr>
          <w:rFonts w:ascii="Arial" w:eastAsia="Lato" w:hAnsi="Arial" w:cs="Arial"/>
          <w:i/>
          <w:iCs/>
        </w:rPr>
      </w:pPr>
      <w:r>
        <w:rPr>
          <w:rFonts w:ascii="Arial" w:eastAsia="Lato" w:hAnsi="Arial" w:cs="Arial"/>
          <w:i/>
          <w:iCs/>
          <w:lang w:val="en-US"/>
        </w:rPr>
        <w:t>I rang up tried to with</w:t>
      </w:r>
      <w:r w:rsidR="00EB2A8C" w:rsidRPr="00D66EA8">
        <w:rPr>
          <w:rFonts w:ascii="Arial" w:eastAsia="Lato" w:hAnsi="Arial" w:cs="Arial"/>
          <w:i/>
          <w:iCs/>
          <w:lang w:val="en-US"/>
        </w:rPr>
        <w:t>draw 10005.00</w:t>
      </w:r>
      <w:r>
        <w:rPr>
          <w:rFonts w:ascii="Arial" w:eastAsia="Lato" w:hAnsi="Arial" w:cs="Arial"/>
          <w:i/>
          <w:iCs/>
          <w:lang w:val="en-US"/>
        </w:rPr>
        <w:t xml:space="preserve"> (sic) </w:t>
      </w:r>
    </w:p>
    <w:p w:rsidR="00445434" w:rsidRPr="00D66EA8" w:rsidRDefault="00EB2A8C" w:rsidP="00B418CA">
      <w:pPr>
        <w:pStyle w:val="Body"/>
        <w:ind w:left="720"/>
        <w:jc w:val="both"/>
        <w:rPr>
          <w:rFonts w:ascii="Arial" w:eastAsia="Lato" w:hAnsi="Arial" w:cs="Arial"/>
          <w:i/>
          <w:iCs/>
        </w:rPr>
      </w:pPr>
      <w:r w:rsidRPr="00D66EA8">
        <w:rPr>
          <w:rFonts w:ascii="Arial" w:eastAsia="Lato" w:hAnsi="Arial" w:cs="Arial"/>
          <w:i/>
          <w:iCs/>
          <w:lang w:val="en-US"/>
        </w:rPr>
        <w:t>Ask account had been block asked to speak to manger said same thing..</w:t>
      </w:r>
    </w:p>
    <w:p w:rsidR="00445434" w:rsidRPr="00D66EA8" w:rsidRDefault="00EB2A8C" w:rsidP="00B418CA">
      <w:pPr>
        <w:pStyle w:val="Body"/>
        <w:ind w:left="720"/>
        <w:jc w:val="both"/>
        <w:rPr>
          <w:rFonts w:ascii="Arial" w:eastAsia="Lato" w:hAnsi="Arial" w:cs="Arial"/>
          <w:i/>
          <w:iCs/>
        </w:rPr>
      </w:pPr>
      <w:r w:rsidRPr="00D66EA8">
        <w:rPr>
          <w:rFonts w:ascii="Arial" w:eastAsia="Lato" w:hAnsi="Arial" w:cs="Arial"/>
          <w:i/>
          <w:iCs/>
          <w:lang w:val="en-US"/>
        </w:rPr>
        <w:t>After phone call lost 60000.00</w:t>
      </w:r>
    </w:p>
    <w:p w:rsidR="00445434" w:rsidRPr="00D66EA8" w:rsidRDefault="00EB2A8C" w:rsidP="00B418CA">
      <w:pPr>
        <w:pStyle w:val="Body"/>
        <w:ind w:left="720"/>
        <w:jc w:val="both"/>
        <w:rPr>
          <w:rFonts w:ascii="Arial" w:eastAsia="Lato" w:hAnsi="Arial" w:cs="Arial"/>
          <w:i/>
          <w:iCs/>
        </w:rPr>
      </w:pPr>
      <w:r w:rsidRPr="00D66EA8">
        <w:rPr>
          <w:rFonts w:ascii="Arial" w:eastAsia="Lato" w:hAnsi="Arial" w:cs="Arial"/>
          <w:i/>
          <w:iCs/>
          <w:lang w:val="nl-NL"/>
        </w:rPr>
        <w:t>Put 50000.00 on eels and storm</w:t>
      </w:r>
    </w:p>
    <w:p w:rsidR="00445434" w:rsidRPr="00D66EA8" w:rsidRDefault="00EB2A8C" w:rsidP="00B418CA">
      <w:pPr>
        <w:pStyle w:val="Body"/>
        <w:ind w:left="720"/>
        <w:jc w:val="both"/>
        <w:rPr>
          <w:rFonts w:ascii="Arial" w:eastAsia="Lato" w:hAnsi="Arial" w:cs="Arial"/>
          <w:i/>
          <w:iCs/>
        </w:rPr>
      </w:pPr>
      <w:r w:rsidRPr="00D66EA8">
        <w:rPr>
          <w:rFonts w:ascii="Arial" w:eastAsia="Lato" w:hAnsi="Arial" w:cs="Arial"/>
          <w:i/>
          <w:iCs/>
          <w:lang w:val="en-US"/>
        </w:rPr>
        <w:t>Rang up at Least 2/3 times telling them had passive gambling problems Even had to ring up asking what bet I put on with that 50000.00..</w:t>
      </w:r>
    </w:p>
    <w:p w:rsidR="00AB0F56" w:rsidRDefault="00EB2A8C" w:rsidP="00B418CA">
      <w:pPr>
        <w:pStyle w:val="Body"/>
        <w:ind w:left="720"/>
        <w:jc w:val="both"/>
        <w:rPr>
          <w:rFonts w:ascii="Arial" w:eastAsia="Lato" w:hAnsi="Arial" w:cs="Arial"/>
          <w:i/>
          <w:iCs/>
        </w:rPr>
      </w:pPr>
      <w:r w:rsidRPr="00D66EA8">
        <w:rPr>
          <w:rFonts w:ascii="Arial" w:eastAsia="Lato" w:hAnsi="Arial" w:cs="Arial"/>
          <w:i/>
          <w:iCs/>
          <w:lang w:val="en-US"/>
        </w:rPr>
        <w:t>Told them I was in hospital and had gambling problem an</w:t>
      </w:r>
      <w:r w:rsidR="00803F8B">
        <w:rPr>
          <w:rFonts w:ascii="Arial" w:eastAsia="Lato" w:hAnsi="Arial" w:cs="Arial"/>
          <w:i/>
          <w:iCs/>
          <w:lang w:val="en-US"/>
        </w:rPr>
        <w:t>d was all my money I had twice a</w:t>
      </w:r>
      <w:r w:rsidRPr="00D66EA8">
        <w:rPr>
          <w:rFonts w:ascii="Arial" w:eastAsia="Lato" w:hAnsi="Arial" w:cs="Arial"/>
          <w:i/>
          <w:iCs/>
          <w:lang w:val="en-US"/>
        </w:rPr>
        <w:t>nd th</w:t>
      </w:r>
      <w:r w:rsidR="00803F8B">
        <w:rPr>
          <w:rFonts w:ascii="Arial" w:eastAsia="Lato" w:hAnsi="Arial" w:cs="Arial"/>
          <w:i/>
          <w:iCs/>
          <w:lang w:val="en-US"/>
        </w:rPr>
        <w:t>at I was going into a clinic</w:t>
      </w:r>
      <w:r w:rsidRPr="00D66EA8">
        <w:rPr>
          <w:rFonts w:ascii="Arial" w:eastAsia="Lato" w:hAnsi="Arial" w:cs="Arial"/>
          <w:i/>
          <w:iCs/>
          <w:lang w:val="en-US"/>
        </w:rPr>
        <w:t xml:space="preserve"> for gambling and drinking problems. I'm still here now Lauren was who I spoke with </w:t>
      </w:r>
      <w:proofErr w:type="gramStart"/>
      <w:r w:rsidRPr="00D66EA8">
        <w:rPr>
          <w:rFonts w:ascii="Arial" w:eastAsia="Lato" w:hAnsi="Arial" w:cs="Arial"/>
          <w:i/>
          <w:iCs/>
          <w:lang w:val="en-US"/>
        </w:rPr>
        <w:t>To</w:t>
      </w:r>
      <w:proofErr w:type="gramEnd"/>
      <w:r w:rsidRPr="00D66EA8">
        <w:rPr>
          <w:rFonts w:ascii="Arial" w:eastAsia="Lato" w:hAnsi="Arial" w:cs="Arial"/>
          <w:i/>
          <w:iCs/>
          <w:lang w:val="en-US"/>
        </w:rPr>
        <w:t xml:space="preserve"> be honest I was on valium was chasing a high I have severe </w:t>
      </w:r>
      <w:proofErr w:type="spellStart"/>
      <w:r w:rsidRPr="00D66EA8">
        <w:rPr>
          <w:rFonts w:ascii="Arial" w:eastAsia="Lato" w:hAnsi="Arial" w:cs="Arial"/>
          <w:i/>
          <w:iCs/>
          <w:lang w:val="en-US"/>
        </w:rPr>
        <w:t>ptsd</w:t>
      </w:r>
      <w:proofErr w:type="spellEnd"/>
      <w:r w:rsidRPr="00D66EA8">
        <w:rPr>
          <w:rFonts w:ascii="Arial" w:eastAsia="Lato" w:hAnsi="Arial" w:cs="Arial"/>
          <w:i/>
          <w:iCs/>
          <w:lang w:val="en-US"/>
        </w:rPr>
        <w:t xml:space="preserve"> and depression Thanks </w:t>
      </w:r>
      <w:r w:rsidR="00F80A91">
        <w:rPr>
          <w:rFonts w:ascii="Arial" w:eastAsia="Lato" w:hAnsi="Arial" w:cs="Arial"/>
          <w:i/>
          <w:iCs/>
          <w:lang w:val="en-US"/>
        </w:rPr>
        <w:t>Mr W</w:t>
      </w:r>
    </w:p>
    <w:p w:rsidR="00AB0F56" w:rsidRDefault="00AB0F56" w:rsidP="00B418CA">
      <w:pPr>
        <w:pStyle w:val="Body"/>
        <w:ind w:left="720"/>
        <w:jc w:val="both"/>
        <w:rPr>
          <w:rFonts w:ascii="Arial" w:eastAsia="Lato" w:hAnsi="Arial" w:cs="Arial"/>
          <w:i/>
          <w:iCs/>
        </w:rPr>
      </w:pPr>
    </w:p>
    <w:p w:rsidR="00AB0F56" w:rsidRPr="00B418CA" w:rsidRDefault="00EB2A8C" w:rsidP="00B418CA">
      <w:pPr>
        <w:pStyle w:val="Body"/>
        <w:numPr>
          <w:ilvl w:val="0"/>
          <w:numId w:val="19"/>
        </w:numPr>
        <w:spacing w:before="120" w:after="120"/>
        <w:ind w:left="714" w:hanging="357"/>
        <w:jc w:val="both"/>
        <w:rPr>
          <w:rFonts w:ascii="Arial" w:eastAsia="Lato" w:hAnsi="Arial" w:cs="Arial"/>
          <w:i/>
          <w:iCs/>
        </w:rPr>
      </w:pPr>
      <w:r w:rsidRPr="00D66EA8">
        <w:rPr>
          <w:rFonts w:ascii="Arial" w:eastAsia="Lato" w:hAnsi="Arial" w:cs="Arial"/>
          <w:lang w:val="en-US"/>
        </w:rPr>
        <w:t>On 12 October 2017, an email was sent to the client acknowledging receipt of the dispute and requesting the client provide all relevant materials in support of his claim.</w:t>
      </w:r>
    </w:p>
    <w:p w:rsidR="00AB0F56" w:rsidRPr="00B418CA" w:rsidRDefault="00EB2A8C" w:rsidP="00B418CA">
      <w:pPr>
        <w:pStyle w:val="Body"/>
        <w:numPr>
          <w:ilvl w:val="0"/>
          <w:numId w:val="19"/>
        </w:numPr>
        <w:spacing w:before="120" w:after="120"/>
        <w:ind w:left="714" w:hanging="357"/>
        <w:jc w:val="both"/>
        <w:rPr>
          <w:rFonts w:ascii="Arial" w:eastAsia="Lato" w:hAnsi="Arial" w:cs="Arial"/>
          <w:i/>
          <w:iCs/>
        </w:rPr>
      </w:pPr>
      <w:r w:rsidRPr="00AB0F56">
        <w:rPr>
          <w:rFonts w:ascii="Arial" w:eastAsia="Lato" w:hAnsi="Arial" w:cs="Arial"/>
          <w:lang w:val="en-US"/>
        </w:rPr>
        <w:t>Additional to the dispute the client provided the fo</w:t>
      </w:r>
      <w:r w:rsidR="00AB0F56">
        <w:rPr>
          <w:rFonts w:ascii="Arial" w:eastAsia="Lato" w:hAnsi="Arial" w:cs="Arial"/>
          <w:lang w:val="en-US"/>
        </w:rPr>
        <w:t xml:space="preserve">llowing documents in support of </w:t>
      </w:r>
      <w:r w:rsidRPr="00AB0F56">
        <w:rPr>
          <w:rFonts w:ascii="Arial" w:eastAsia="Lato" w:hAnsi="Arial" w:cs="Arial"/>
          <w:lang w:val="en-US"/>
        </w:rPr>
        <w:t>his claim:</w:t>
      </w:r>
    </w:p>
    <w:p w:rsidR="00B418CA" w:rsidRPr="00AB0F56" w:rsidRDefault="00B418CA" w:rsidP="00B418CA">
      <w:pPr>
        <w:pStyle w:val="Body"/>
        <w:jc w:val="both"/>
        <w:rPr>
          <w:rFonts w:ascii="Arial" w:eastAsia="Lato" w:hAnsi="Arial" w:cs="Arial"/>
          <w:i/>
          <w:iCs/>
        </w:rPr>
      </w:pPr>
    </w:p>
    <w:p w:rsidR="00AB0F56" w:rsidRPr="00AB0F56" w:rsidRDefault="00EB2A8C" w:rsidP="00B418CA">
      <w:pPr>
        <w:pStyle w:val="Body"/>
        <w:numPr>
          <w:ilvl w:val="1"/>
          <w:numId w:val="19"/>
        </w:numPr>
        <w:jc w:val="both"/>
        <w:rPr>
          <w:rFonts w:ascii="Arial" w:eastAsia="Lato" w:hAnsi="Arial" w:cs="Arial"/>
          <w:i/>
          <w:iCs/>
        </w:rPr>
      </w:pPr>
      <w:r w:rsidRPr="00AB0F56">
        <w:rPr>
          <w:rFonts w:ascii="Arial" w:eastAsia="Lato" w:hAnsi="Arial" w:cs="Arial"/>
        </w:rPr>
        <w:t xml:space="preserve">Letter dated 25 October 2017, from Shaun Dempsey PhD, </w:t>
      </w:r>
      <w:r w:rsidR="00B418CA" w:rsidRPr="00AB0F56">
        <w:rPr>
          <w:rFonts w:ascii="Arial" w:eastAsia="Lato" w:hAnsi="Arial" w:cs="Arial"/>
        </w:rPr>
        <w:t>Clinical</w:t>
      </w:r>
      <w:r w:rsidRPr="00AB0F56">
        <w:rPr>
          <w:rFonts w:ascii="Arial" w:eastAsia="Lato" w:hAnsi="Arial" w:cs="Arial"/>
        </w:rPr>
        <w:t xml:space="preserve"> Psychologist, Townsville Clinical Psychology Services </w:t>
      </w:r>
    </w:p>
    <w:p w:rsidR="00AB0F56" w:rsidRPr="00AB0F56" w:rsidRDefault="00EB2A8C" w:rsidP="00B418CA">
      <w:pPr>
        <w:pStyle w:val="Body"/>
        <w:numPr>
          <w:ilvl w:val="1"/>
          <w:numId w:val="19"/>
        </w:numPr>
        <w:jc w:val="both"/>
        <w:rPr>
          <w:rFonts w:ascii="Arial" w:eastAsia="Lato" w:hAnsi="Arial" w:cs="Arial"/>
          <w:i/>
          <w:iCs/>
        </w:rPr>
      </w:pPr>
      <w:r w:rsidRPr="00AB0F56">
        <w:rPr>
          <w:rFonts w:ascii="Arial" w:eastAsia="Lato" w:hAnsi="Arial" w:cs="Arial"/>
        </w:rPr>
        <w:t xml:space="preserve">Letter submitted 2 November 2017, dated 24 October 2017, from Dr Graham Altman, Consultant Psychiatrist </w:t>
      </w:r>
    </w:p>
    <w:p w:rsidR="00AB0F56" w:rsidRPr="00AB0F56" w:rsidRDefault="00EB2A8C" w:rsidP="00B418CA">
      <w:pPr>
        <w:pStyle w:val="Body"/>
        <w:numPr>
          <w:ilvl w:val="1"/>
          <w:numId w:val="19"/>
        </w:numPr>
        <w:jc w:val="both"/>
        <w:rPr>
          <w:rFonts w:ascii="Arial" w:eastAsia="Lato" w:hAnsi="Arial" w:cs="Arial"/>
          <w:i/>
          <w:iCs/>
        </w:rPr>
      </w:pPr>
      <w:r w:rsidRPr="00AB0F56">
        <w:rPr>
          <w:rFonts w:ascii="Arial" w:eastAsia="Lato" w:hAnsi="Arial" w:cs="Arial"/>
        </w:rPr>
        <w:t xml:space="preserve">Letter submitted 10 November 2017, dated 9 November 2017 Dr Michael Likely, Consultant Psychiatrist </w:t>
      </w:r>
    </w:p>
    <w:p w:rsidR="00AB0F56" w:rsidRPr="00AB0F56" w:rsidRDefault="00EB2A8C" w:rsidP="00F80A91">
      <w:pPr>
        <w:pStyle w:val="Body"/>
        <w:numPr>
          <w:ilvl w:val="1"/>
          <w:numId w:val="19"/>
        </w:numPr>
        <w:jc w:val="both"/>
        <w:rPr>
          <w:rFonts w:ascii="Arial" w:eastAsia="Lato" w:hAnsi="Arial" w:cs="Arial"/>
          <w:i/>
          <w:iCs/>
        </w:rPr>
      </w:pPr>
      <w:r w:rsidRPr="00AB0F56">
        <w:rPr>
          <w:rFonts w:ascii="Arial" w:eastAsia="Lato" w:hAnsi="Arial" w:cs="Arial"/>
        </w:rPr>
        <w:lastRenderedPageBreak/>
        <w:t xml:space="preserve">Letter submitted 13 November 2017, written by Mr </w:t>
      </w:r>
      <w:r w:rsidR="00F80A91">
        <w:rPr>
          <w:rFonts w:ascii="Arial" w:eastAsia="Lato" w:hAnsi="Arial" w:cs="Arial"/>
        </w:rPr>
        <w:t>W</w:t>
      </w:r>
      <w:r w:rsidRPr="00AB0F56">
        <w:rPr>
          <w:rFonts w:ascii="Arial" w:eastAsia="Lato" w:hAnsi="Arial" w:cs="Arial"/>
        </w:rPr>
        <w:t xml:space="preserve"> (brother of Mr </w:t>
      </w:r>
      <w:r w:rsidR="00F80A91">
        <w:rPr>
          <w:rFonts w:ascii="Arial" w:eastAsia="Lato" w:hAnsi="Arial" w:cs="Arial"/>
        </w:rPr>
        <w:t>W</w:t>
      </w:r>
      <w:r w:rsidRPr="00AB0F56">
        <w:rPr>
          <w:rFonts w:ascii="Arial" w:eastAsia="Lato" w:hAnsi="Arial" w:cs="Arial"/>
        </w:rPr>
        <w:t xml:space="preserve">) on behalf of the client </w:t>
      </w:r>
    </w:p>
    <w:p w:rsidR="00AB0F56" w:rsidRPr="00AB0F56" w:rsidRDefault="00EB2A8C" w:rsidP="00F80A91">
      <w:pPr>
        <w:pStyle w:val="Body"/>
        <w:numPr>
          <w:ilvl w:val="1"/>
          <w:numId w:val="19"/>
        </w:numPr>
        <w:jc w:val="both"/>
        <w:rPr>
          <w:rFonts w:ascii="Arial" w:eastAsia="Lato" w:hAnsi="Arial" w:cs="Arial"/>
          <w:i/>
          <w:iCs/>
        </w:rPr>
      </w:pPr>
      <w:r w:rsidRPr="00AB0F56">
        <w:rPr>
          <w:rFonts w:ascii="Arial" w:eastAsia="Lato" w:hAnsi="Arial" w:cs="Arial"/>
        </w:rPr>
        <w:t xml:space="preserve">Client betting statement from </w:t>
      </w:r>
      <w:r w:rsidR="00AB0F56">
        <w:rPr>
          <w:rFonts w:ascii="Arial" w:eastAsia="Lato" w:hAnsi="Arial" w:cs="Arial"/>
        </w:rPr>
        <w:t>14 July 2016, to 5 October 2017</w:t>
      </w:r>
    </w:p>
    <w:p w:rsidR="00AB0F56" w:rsidRPr="00AB0F56" w:rsidRDefault="00AB0F56" w:rsidP="00F80A91">
      <w:pPr>
        <w:pStyle w:val="Body"/>
        <w:numPr>
          <w:ilvl w:val="1"/>
          <w:numId w:val="19"/>
        </w:numPr>
        <w:jc w:val="both"/>
        <w:rPr>
          <w:rFonts w:ascii="Arial" w:eastAsia="Lato" w:hAnsi="Arial" w:cs="Arial"/>
          <w:i/>
          <w:iCs/>
        </w:rPr>
      </w:pPr>
    </w:p>
    <w:p w:rsidR="00445434" w:rsidRPr="00AB0F56" w:rsidRDefault="00EB2A8C" w:rsidP="00B418CA">
      <w:pPr>
        <w:pStyle w:val="Body"/>
        <w:numPr>
          <w:ilvl w:val="0"/>
          <w:numId w:val="19"/>
        </w:numPr>
        <w:spacing w:before="120" w:after="120"/>
        <w:jc w:val="both"/>
        <w:rPr>
          <w:rFonts w:ascii="Arial" w:eastAsia="Lato" w:hAnsi="Arial" w:cs="Arial"/>
          <w:i/>
          <w:iCs/>
        </w:rPr>
      </w:pPr>
      <w:r w:rsidRPr="00AB0F56">
        <w:rPr>
          <w:rFonts w:ascii="Arial" w:eastAsia="Lato" w:hAnsi="Arial" w:cs="Arial"/>
          <w:lang w:val="en-US"/>
        </w:rPr>
        <w:t>On 12 October 2017, an email was sent to the bookmaker, noting the dispute as a problem gambling matter and requested a response.</w:t>
      </w:r>
    </w:p>
    <w:p w:rsidR="00B817C6" w:rsidRPr="00B817C6" w:rsidRDefault="00EB2A8C" w:rsidP="00B418CA">
      <w:pPr>
        <w:pStyle w:val="Body"/>
        <w:numPr>
          <w:ilvl w:val="0"/>
          <w:numId w:val="19"/>
        </w:numPr>
        <w:spacing w:before="120" w:after="120"/>
        <w:jc w:val="both"/>
        <w:rPr>
          <w:rFonts w:ascii="Arial" w:eastAsia="Lato" w:hAnsi="Arial" w:cs="Arial"/>
        </w:rPr>
      </w:pPr>
      <w:r w:rsidRPr="00D66EA8">
        <w:rPr>
          <w:rFonts w:ascii="Arial" w:eastAsia="Lato" w:hAnsi="Arial" w:cs="Arial"/>
          <w:lang w:val="en-US"/>
        </w:rPr>
        <w:t>On 27 October 2017, the bookmaker provide</w:t>
      </w:r>
      <w:r w:rsidR="00B817C6">
        <w:rPr>
          <w:rFonts w:ascii="Arial" w:eastAsia="Lato" w:hAnsi="Arial" w:cs="Arial"/>
          <w:lang w:val="en-US"/>
        </w:rPr>
        <w:t xml:space="preserve">d their response to the dispute </w:t>
      </w:r>
    </w:p>
    <w:p w:rsidR="00445434" w:rsidRPr="00B817C6" w:rsidRDefault="00EB2A8C" w:rsidP="00B418CA">
      <w:pPr>
        <w:pStyle w:val="Body"/>
        <w:numPr>
          <w:ilvl w:val="0"/>
          <w:numId w:val="19"/>
        </w:numPr>
        <w:spacing w:before="120" w:after="120"/>
        <w:jc w:val="both"/>
        <w:rPr>
          <w:rFonts w:ascii="Arial" w:eastAsia="Lato" w:hAnsi="Arial" w:cs="Arial"/>
        </w:rPr>
      </w:pPr>
      <w:r w:rsidRPr="00B817C6">
        <w:rPr>
          <w:rFonts w:ascii="Arial" w:eastAsia="Lato" w:hAnsi="Arial" w:cs="Arial"/>
          <w:lang w:val="en-US"/>
        </w:rPr>
        <w:t>In response to the dispute the bookmaker provided their submission including nine (9) telephone recordings. The bookmaker</w:t>
      </w:r>
      <w:r w:rsidRPr="00B817C6">
        <w:rPr>
          <w:rFonts w:ascii="Arial" w:eastAsia="Lato" w:hAnsi="Arial" w:cs="Arial"/>
          <w:lang w:val="fr-FR"/>
        </w:rPr>
        <w:t>’</w:t>
      </w:r>
      <w:r w:rsidRPr="00B817C6">
        <w:rPr>
          <w:rFonts w:ascii="Arial" w:eastAsia="Lato" w:hAnsi="Arial" w:cs="Arial"/>
          <w:lang w:val="en-US"/>
        </w:rPr>
        <w:t>s submission is reproduced in part below:</w:t>
      </w:r>
    </w:p>
    <w:p w:rsidR="00445434" w:rsidRPr="00B817C6" w:rsidRDefault="00445434" w:rsidP="00B418CA">
      <w:pPr>
        <w:pStyle w:val="Body"/>
        <w:jc w:val="both"/>
        <w:rPr>
          <w:rFonts w:ascii="Arial" w:eastAsia="Lato" w:hAnsi="Arial" w:cs="Arial"/>
        </w:rPr>
      </w:pPr>
    </w:p>
    <w:p w:rsidR="00445434" w:rsidRPr="00B817C6" w:rsidRDefault="00EB2A8C" w:rsidP="00B418CA">
      <w:pPr>
        <w:pStyle w:val="Body"/>
        <w:ind w:left="720"/>
        <w:jc w:val="both"/>
        <w:rPr>
          <w:rFonts w:ascii="Arial" w:eastAsia="Lato" w:hAnsi="Arial" w:cs="Arial"/>
          <w:i/>
          <w:iCs/>
        </w:rPr>
      </w:pPr>
      <w:r w:rsidRPr="00B817C6">
        <w:rPr>
          <w:rFonts w:ascii="Arial" w:eastAsia="Lato" w:hAnsi="Arial" w:cs="Arial"/>
          <w:i/>
          <w:iCs/>
        </w:rPr>
        <w:t xml:space="preserve">‘… </w:t>
      </w:r>
      <w:r w:rsidRPr="00B817C6">
        <w:rPr>
          <w:rFonts w:ascii="Arial" w:eastAsia="Lato" w:hAnsi="Arial" w:cs="Arial"/>
          <w:i/>
          <w:iCs/>
          <w:lang w:val="en-US"/>
        </w:rPr>
        <w:t xml:space="preserve">On the 26/9/2017 CrownBet invoked the following Rule and requested Mr </w:t>
      </w:r>
      <w:r w:rsidR="00F80A91">
        <w:rPr>
          <w:rFonts w:ascii="Arial" w:eastAsia="Lato" w:hAnsi="Arial" w:cs="Arial"/>
          <w:i/>
          <w:iCs/>
          <w:lang w:val="en-US"/>
        </w:rPr>
        <w:t>W</w:t>
      </w:r>
      <w:r w:rsidRPr="00B817C6">
        <w:rPr>
          <w:rFonts w:ascii="Arial" w:eastAsia="Lato" w:hAnsi="Arial" w:cs="Arial"/>
          <w:i/>
          <w:iCs/>
          <w:lang w:val="en-US"/>
        </w:rPr>
        <w:t xml:space="preserve"> verify the card used to deposit. As part of the verification process, the withdrawal functionality is disabled pending the satisfaction of this requirement.</w:t>
      </w:r>
    </w:p>
    <w:p w:rsidR="00445434" w:rsidRPr="00B817C6" w:rsidRDefault="00EB2A8C" w:rsidP="00B418CA">
      <w:pPr>
        <w:pStyle w:val="Body"/>
        <w:spacing w:before="120"/>
        <w:ind w:left="720"/>
        <w:jc w:val="both"/>
        <w:rPr>
          <w:rFonts w:ascii="Arial" w:eastAsia="Lato" w:hAnsi="Arial" w:cs="Arial"/>
          <w:i/>
          <w:iCs/>
        </w:rPr>
      </w:pPr>
      <w:r w:rsidRPr="00B817C6">
        <w:rPr>
          <w:rFonts w:ascii="Arial" w:eastAsia="Lato" w:hAnsi="Arial" w:cs="Arial"/>
          <w:i/>
          <w:iCs/>
        </w:rPr>
        <w:tab/>
        <w:t>General Rules</w:t>
      </w:r>
    </w:p>
    <w:p w:rsidR="00445434" w:rsidRPr="00B817C6" w:rsidRDefault="00EB2A8C" w:rsidP="00B418CA">
      <w:pPr>
        <w:pStyle w:val="Body"/>
        <w:ind w:left="720" w:firstLine="720"/>
        <w:jc w:val="both"/>
        <w:rPr>
          <w:rFonts w:ascii="Arial" w:eastAsia="Lato" w:hAnsi="Arial" w:cs="Arial"/>
          <w:i/>
          <w:iCs/>
        </w:rPr>
      </w:pPr>
      <w:r w:rsidRPr="00B817C6">
        <w:rPr>
          <w:rFonts w:ascii="Arial" w:eastAsia="Lato" w:hAnsi="Arial" w:cs="Arial"/>
          <w:i/>
          <w:iCs/>
          <w:lang w:val="fr-FR"/>
        </w:rPr>
        <w:t xml:space="preserve">12. </w:t>
      </w:r>
      <w:proofErr w:type="spellStart"/>
      <w:r w:rsidRPr="00B817C6">
        <w:rPr>
          <w:rFonts w:ascii="Arial" w:eastAsia="Lato" w:hAnsi="Arial" w:cs="Arial"/>
          <w:i/>
          <w:iCs/>
          <w:lang w:val="fr-FR"/>
        </w:rPr>
        <w:t>Payment</w:t>
      </w:r>
      <w:proofErr w:type="spellEnd"/>
      <w:r w:rsidRPr="00B817C6">
        <w:rPr>
          <w:rFonts w:ascii="Arial" w:eastAsia="Lato" w:hAnsi="Arial" w:cs="Arial"/>
          <w:i/>
          <w:iCs/>
          <w:lang w:val="fr-FR"/>
        </w:rPr>
        <w:t xml:space="preserve"> </w:t>
      </w:r>
      <w:proofErr w:type="spellStart"/>
      <w:r w:rsidRPr="00B817C6">
        <w:rPr>
          <w:rFonts w:ascii="Arial" w:eastAsia="Lato" w:hAnsi="Arial" w:cs="Arial"/>
          <w:i/>
          <w:iCs/>
          <w:lang w:val="fr-FR"/>
        </w:rPr>
        <w:t>Verification</w:t>
      </w:r>
      <w:proofErr w:type="spellEnd"/>
    </w:p>
    <w:p w:rsidR="00445434" w:rsidRDefault="00EB2A8C" w:rsidP="00B418CA">
      <w:pPr>
        <w:pStyle w:val="Body"/>
        <w:ind w:left="1440"/>
        <w:jc w:val="both"/>
        <w:rPr>
          <w:rFonts w:ascii="Arial" w:eastAsia="Lato" w:hAnsi="Arial" w:cs="Arial"/>
          <w:i/>
          <w:iCs/>
          <w:lang w:val="en-US"/>
        </w:rPr>
      </w:pPr>
      <w:r w:rsidRPr="00B817C6">
        <w:rPr>
          <w:rFonts w:ascii="Arial" w:eastAsia="Lato" w:hAnsi="Arial" w:cs="Arial"/>
          <w:i/>
          <w:iCs/>
          <w:lang w:val="en-US"/>
        </w:rPr>
        <w:t xml:space="preserve">If </w:t>
      </w:r>
      <w:proofErr w:type="gramStart"/>
      <w:r w:rsidRPr="00B817C6">
        <w:rPr>
          <w:rFonts w:ascii="Arial" w:eastAsia="Lato" w:hAnsi="Arial" w:cs="Arial"/>
          <w:i/>
          <w:iCs/>
          <w:lang w:val="en-US"/>
        </w:rPr>
        <w:t>You</w:t>
      </w:r>
      <w:proofErr w:type="gramEnd"/>
      <w:r w:rsidRPr="00B817C6">
        <w:rPr>
          <w:rFonts w:ascii="Arial" w:eastAsia="Lato" w:hAnsi="Arial" w:cs="Arial"/>
          <w:i/>
          <w:iCs/>
          <w:lang w:val="en-US"/>
        </w:rPr>
        <w:t xml:space="preserve"> use any of our Deposit options you accept that We may request a bank statement to verify where funds have originated from prior t</w:t>
      </w:r>
      <w:r w:rsidR="00B817C6">
        <w:rPr>
          <w:rFonts w:ascii="Arial" w:eastAsia="Lato" w:hAnsi="Arial" w:cs="Arial"/>
          <w:i/>
          <w:iCs/>
          <w:lang w:val="en-US"/>
        </w:rPr>
        <w:t>o any withdrawal being approved.</w:t>
      </w:r>
    </w:p>
    <w:p w:rsidR="00B817C6" w:rsidRDefault="00B817C6" w:rsidP="00B418CA">
      <w:pPr>
        <w:pStyle w:val="Body"/>
        <w:ind w:left="1440"/>
        <w:jc w:val="both"/>
        <w:rPr>
          <w:rFonts w:ascii="Arial" w:eastAsia="Lato" w:hAnsi="Arial" w:cs="Arial"/>
          <w:i/>
          <w:iCs/>
        </w:rPr>
      </w:pPr>
    </w:p>
    <w:p w:rsidR="00B817C6" w:rsidRPr="00B817C6" w:rsidRDefault="00EB2A8C" w:rsidP="00B418CA">
      <w:pPr>
        <w:pStyle w:val="Body"/>
        <w:numPr>
          <w:ilvl w:val="0"/>
          <w:numId w:val="19"/>
        </w:numPr>
        <w:spacing w:before="120" w:after="120"/>
        <w:jc w:val="both"/>
        <w:rPr>
          <w:rFonts w:ascii="Arial" w:eastAsia="Lato" w:hAnsi="Arial" w:cs="Arial"/>
          <w:iCs/>
        </w:rPr>
      </w:pPr>
      <w:r w:rsidRPr="00B817C6">
        <w:rPr>
          <w:rFonts w:ascii="Arial" w:eastAsia="Lato" w:hAnsi="Arial" w:cs="Arial"/>
          <w:iCs/>
          <w:lang w:val="en-US"/>
        </w:rPr>
        <w:t xml:space="preserve">Mr </w:t>
      </w:r>
      <w:r w:rsidR="00F80A91">
        <w:rPr>
          <w:rFonts w:ascii="Arial" w:eastAsia="Lato" w:hAnsi="Arial" w:cs="Arial"/>
          <w:iCs/>
          <w:lang w:val="en-US"/>
        </w:rPr>
        <w:t>W</w:t>
      </w:r>
      <w:r w:rsidRPr="00B817C6">
        <w:rPr>
          <w:rFonts w:ascii="Arial" w:eastAsia="Lato" w:hAnsi="Arial" w:cs="Arial"/>
          <w:iCs/>
          <w:lang w:val="en-US"/>
        </w:rPr>
        <w:t xml:space="preserve"> provided verification of the card on the 28/9/2017.</w:t>
      </w:r>
    </w:p>
    <w:p w:rsidR="00445434" w:rsidRPr="00B817C6" w:rsidRDefault="00EB2A8C" w:rsidP="00B418CA">
      <w:pPr>
        <w:pStyle w:val="Body"/>
        <w:numPr>
          <w:ilvl w:val="0"/>
          <w:numId w:val="19"/>
        </w:numPr>
        <w:spacing w:before="120" w:after="120"/>
        <w:jc w:val="both"/>
        <w:rPr>
          <w:rFonts w:ascii="Arial" w:eastAsia="Lato" w:hAnsi="Arial" w:cs="Arial"/>
          <w:iCs/>
        </w:rPr>
      </w:pPr>
      <w:r w:rsidRPr="00B817C6">
        <w:rPr>
          <w:rFonts w:ascii="Arial" w:eastAsia="Lato" w:hAnsi="Arial" w:cs="Arial"/>
          <w:iCs/>
          <w:lang w:val="en-US"/>
        </w:rPr>
        <w:t xml:space="preserve">On the 30/9/2017 at </w:t>
      </w:r>
      <w:proofErr w:type="spellStart"/>
      <w:r w:rsidRPr="00B817C6">
        <w:rPr>
          <w:rFonts w:ascii="Arial" w:eastAsia="Lato" w:hAnsi="Arial" w:cs="Arial"/>
          <w:iCs/>
          <w:lang w:val="en-US"/>
        </w:rPr>
        <w:t>10PM</w:t>
      </w:r>
      <w:proofErr w:type="spellEnd"/>
      <w:r w:rsidRPr="00B817C6">
        <w:rPr>
          <w:rFonts w:ascii="Arial" w:eastAsia="Lato" w:hAnsi="Arial" w:cs="Arial"/>
          <w:iCs/>
          <w:lang w:val="en-US"/>
        </w:rPr>
        <w:t xml:space="preserve">, Mr </w:t>
      </w:r>
      <w:r w:rsidR="00F80A91">
        <w:rPr>
          <w:rFonts w:ascii="Arial" w:eastAsia="Lato" w:hAnsi="Arial" w:cs="Arial"/>
          <w:iCs/>
          <w:lang w:val="en-US"/>
        </w:rPr>
        <w:t>W</w:t>
      </w:r>
      <w:r w:rsidRPr="00B817C6">
        <w:rPr>
          <w:rFonts w:ascii="Arial" w:eastAsia="Lato" w:hAnsi="Arial" w:cs="Arial"/>
          <w:iCs/>
          <w:lang w:val="en-US"/>
        </w:rPr>
        <w:t xml:space="preserve"> contacted </w:t>
      </w:r>
      <w:proofErr w:type="spellStart"/>
      <w:r w:rsidRPr="00B817C6">
        <w:rPr>
          <w:rFonts w:ascii="Arial" w:eastAsia="Lato" w:hAnsi="Arial" w:cs="Arial"/>
          <w:iCs/>
          <w:lang w:val="en-US"/>
        </w:rPr>
        <w:t>CrownBet</w:t>
      </w:r>
      <w:proofErr w:type="spellEnd"/>
      <w:r w:rsidRPr="00B817C6">
        <w:rPr>
          <w:rFonts w:ascii="Arial" w:eastAsia="Lato" w:hAnsi="Arial" w:cs="Arial"/>
          <w:iCs/>
          <w:lang w:val="en-US"/>
        </w:rPr>
        <w:t xml:space="preserve"> via telephone to request a withdrawal. It was at this time that Mr </w:t>
      </w:r>
      <w:r w:rsidR="00F80A91">
        <w:rPr>
          <w:rFonts w:ascii="Arial" w:eastAsia="Lato" w:hAnsi="Arial" w:cs="Arial"/>
          <w:iCs/>
          <w:lang w:val="en-US"/>
        </w:rPr>
        <w:t>W</w:t>
      </w:r>
      <w:r w:rsidRPr="00B817C6">
        <w:rPr>
          <w:rFonts w:ascii="Arial" w:eastAsia="Lato" w:hAnsi="Arial" w:cs="Arial"/>
          <w:iCs/>
          <w:lang w:val="en-US"/>
        </w:rPr>
        <w:t xml:space="preserve"> notified </w:t>
      </w:r>
      <w:proofErr w:type="spellStart"/>
      <w:r w:rsidRPr="00B817C6">
        <w:rPr>
          <w:rFonts w:ascii="Arial" w:eastAsia="Lato" w:hAnsi="Arial" w:cs="Arial"/>
          <w:iCs/>
          <w:lang w:val="en-US"/>
        </w:rPr>
        <w:t>CrownBet</w:t>
      </w:r>
      <w:proofErr w:type="spellEnd"/>
      <w:r w:rsidRPr="00B817C6">
        <w:rPr>
          <w:rFonts w:ascii="Arial" w:eastAsia="Lato" w:hAnsi="Arial" w:cs="Arial"/>
          <w:iCs/>
          <w:lang w:val="en-US"/>
        </w:rPr>
        <w:t xml:space="preserve"> that he was unable to process the withdrawal himself.</w:t>
      </w:r>
    </w:p>
    <w:p w:rsidR="00445434" w:rsidRPr="00B817C6" w:rsidRDefault="00EB2A8C" w:rsidP="00B418CA">
      <w:pPr>
        <w:pStyle w:val="Body"/>
        <w:spacing w:before="120"/>
        <w:ind w:left="720"/>
        <w:jc w:val="both"/>
        <w:rPr>
          <w:rFonts w:ascii="Arial" w:eastAsia="Lato" w:hAnsi="Arial" w:cs="Arial"/>
          <w:iCs/>
        </w:rPr>
      </w:pPr>
      <w:r w:rsidRPr="00B817C6">
        <w:rPr>
          <w:rFonts w:ascii="Arial" w:eastAsia="Lato" w:hAnsi="Arial" w:cs="Arial"/>
          <w:iCs/>
          <w:lang w:val="en-US"/>
        </w:rPr>
        <w:t xml:space="preserve">Whilst Mr </w:t>
      </w:r>
      <w:r w:rsidR="00F80A91">
        <w:rPr>
          <w:rFonts w:ascii="Arial" w:eastAsia="Lato" w:hAnsi="Arial" w:cs="Arial"/>
          <w:iCs/>
          <w:lang w:val="en-US"/>
        </w:rPr>
        <w:t>W</w:t>
      </w:r>
      <w:r w:rsidRPr="00B817C6">
        <w:rPr>
          <w:rFonts w:ascii="Arial" w:eastAsia="Lato" w:hAnsi="Arial" w:cs="Arial"/>
          <w:iCs/>
          <w:lang w:val="en-US"/>
        </w:rPr>
        <w:t xml:space="preserve"> had completed the verification process, CrownBet acknowledges that, in error the withdrawal functionality had not been re-enabled. Due to Mr </w:t>
      </w:r>
      <w:r w:rsidR="00F80A91">
        <w:rPr>
          <w:rFonts w:ascii="Arial" w:eastAsia="Lato" w:hAnsi="Arial" w:cs="Arial"/>
          <w:iCs/>
          <w:lang w:val="en-US"/>
        </w:rPr>
        <w:t>W</w:t>
      </w:r>
      <w:r w:rsidRPr="00B817C6">
        <w:rPr>
          <w:rFonts w:ascii="Arial" w:eastAsia="Lato" w:hAnsi="Arial" w:cs="Arial"/>
          <w:iCs/>
          <w:lang w:val="en-US"/>
        </w:rPr>
        <w:t xml:space="preserve"> contacting outside of business hours, he was asked to contact the following morning at 9AM when the Customer Security Team would be available to assist further.</w:t>
      </w:r>
    </w:p>
    <w:p w:rsidR="00445434" w:rsidRPr="00B817C6" w:rsidRDefault="00EB2A8C" w:rsidP="00B418CA">
      <w:pPr>
        <w:pStyle w:val="Body"/>
        <w:spacing w:before="120"/>
        <w:ind w:left="720"/>
        <w:jc w:val="both"/>
        <w:rPr>
          <w:rFonts w:ascii="Arial" w:eastAsia="Lato" w:hAnsi="Arial" w:cs="Arial"/>
          <w:iCs/>
        </w:rPr>
      </w:pPr>
      <w:r w:rsidRPr="00B817C6">
        <w:rPr>
          <w:rFonts w:ascii="Arial" w:eastAsia="Lato" w:hAnsi="Arial" w:cs="Arial"/>
          <w:iCs/>
          <w:lang w:val="en-US"/>
        </w:rPr>
        <w:t xml:space="preserve">At 8.46AM on the 1/10/2017 Mr </w:t>
      </w:r>
      <w:r w:rsidR="00F80A91">
        <w:rPr>
          <w:rFonts w:ascii="Arial" w:eastAsia="Lato" w:hAnsi="Arial" w:cs="Arial"/>
          <w:iCs/>
          <w:lang w:val="en-US"/>
        </w:rPr>
        <w:t>W</w:t>
      </w:r>
      <w:r w:rsidRPr="00B817C6">
        <w:rPr>
          <w:rFonts w:ascii="Arial" w:eastAsia="Lato" w:hAnsi="Arial" w:cs="Arial"/>
          <w:iCs/>
          <w:lang w:val="en-US"/>
        </w:rPr>
        <w:t xml:space="preserve"> contacted via telephone. However, this contact was again outside of the department</w:t>
      </w:r>
      <w:r w:rsidRPr="00B817C6">
        <w:rPr>
          <w:rFonts w:ascii="Arial" w:eastAsia="Lato" w:hAnsi="Arial" w:cs="Arial"/>
          <w:iCs/>
          <w:lang w:val="fr-FR"/>
        </w:rPr>
        <w:t>’</w:t>
      </w:r>
      <w:r w:rsidRPr="00B817C6">
        <w:rPr>
          <w:rFonts w:ascii="Arial" w:eastAsia="Lato" w:hAnsi="Arial" w:cs="Arial"/>
          <w:iCs/>
          <w:lang w:val="en-US"/>
        </w:rPr>
        <w:t>s hours.</w:t>
      </w:r>
    </w:p>
    <w:p w:rsidR="00F22183" w:rsidRDefault="00EB2A8C" w:rsidP="00B418CA">
      <w:pPr>
        <w:pStyle w:val="Body"/>
        <w:spacing w:before="120"/>
        <w:ind w:left="720"/>
        <w:jc w:val="both"/>
        <w:rPr>
          <w:rFonts w:ascii="Arial" w:eastAsia="Lato" w:hAnsi="Arial" w:cs="Arial"/>
          <w:iCs/>
        </w:rPr>
      </w:pPr>
      <w:r w:rsidRPr="00B817C6">
        <w:rPr>
          <w:rFonts w:ascii="Arial" w:eastAsia="Lato" w:hAnsi="Arial" w:cs="Arial"/>
          <w:iCs/>
          <w:lang w:val="en-US"/>
        </w:rPr>
        <w:t xml:space="preserve">Mr </w:t>
      </w:r>
      <w:r w:rsidR="00F80A91">
        <w:rPr>
          <w:rFonts w:ascii="Arial" w:eastAsia="Lato" w:hAnsi="Arial" w:cs="Arial"/>
          <w:iCs/>
          <w:lang w:val="en-US"/>
        </w:rPr>
        <w:t>W</w:t>
      </w:r>
      <w:r w:rsidRPr="00B817C6">
        <w:rPr>
          <w:rFonts w:ascii="Arial" w:eastAsia="Lato" w:hAnsi="Arial" w:cs="Arial"/>
          <w:iCs/>
          <w:lang w:val="en-US"/>
        </w:rPr>
        <w:t xml:space="preserve"> contacted at </w:t>
      </w:r>
      <w:proofErr w:type="spellStart"/>
      <w:r w:rsidRPr="00B817C6">
        <w:rPr>
          <w:rFonts w:ascii="Arial" w:eastAsia="Lato" w:hAnsi="Arial" w:cs="Arial"/>
          <w:iCs/>
          <w:lang w:val="en-US"/>
        </w:rPr>
        <w:t>12.29PM</w:t>
      </w:r>
      <w:proofErr w:type="spellEnd"/>
      <w:r w:rsidRPr="00B817C6">
        <w:rPr>
          <w:rFonts w:ascii="Arial" w:eastAsia="Lato" w:hAnsi="Arial" w:cs="Arial"/>
          <w:iCs/>
          <w:lang w:val="en-US"/>
        </w:rPr>
        <w:t xml:space="preserve"> requesting to speak to a supervisor. During this call, Mr </w:t>
      </w:r>
      <w:r w:rsidR="00F80A91">
        <w:rPr>
          <w:rFonts w:ascii="Arial" w:eastAsia="Lato" w:hAnsi="Arial" w:cs="Arial"/>
          <w:iCs/>
          <w:lang w:val="en-US"/>
        </w:rPr>
        <w:t>W</w:t>
      </w:r>
      <w:r w:rsidRPr="00B817C6">
        <w:rPr>
          <w:rFonts w:ascii="Arial" w:eastAsia="Lato" w:hAnsi="Arial" w:cs="Arial"/>
          <w:iCs/>
          <w:lang w:val="en-US"/>
        </w:rPr>
        <w:t xml:space="preserve"> indicated that he was experiencing gambling issues. Prior to this, Mr </w:t>
      </w:r>
      <w:r w:rsidR="00F80A91">
        <w:rPr>
          <w:rFonts w:ascii="Arial" w:eastAsia="Lato" w:hAnsi="Arial" w:cs="Arial"/>
          <w:iCs/>
          <w:lang w:val="en-US"/>
        </w:rPr>
        <w:t>W</w:t>
      </w:r>
      <w:r w:rsidRPr="00B817C6">
        <w:rPr>
          <w:rFonts w:ascii="Arial" w:eastAsia="Lato" w:hAnsi="Arial" w:cs="Arial"/>
          <w:iCs/>
          <w:lang w:val="en-US"/>
        </w:rPr>
        <w:t xml:space="preserve"> had not made mention of such issues, and Mr </w:t>
      </w:r>
      <w:r w:rsidR="00F80A91">
        <w:rPr>
          <w:rFonts w:ascii="Arial" w:eastAsia="Lato" w:hAnsi="Arial" w:cs="Arial"/>
          <w:iCs/>
          <w:lang w:val="en-US"/>
        </w:rPr>
        <w:t>W</w:t>
      </w:r>
      <w:r w:rsidRPr="00B817C6">
        <w:rPr>
          <w:rFonts w:ascii="Arial" w:eastAsia="Lato" w:hAnsi="Arial" w:cs="Arial"/>
          <w:iCs/>
          <w:lang w:val="en-US"/>
        </w:rPr>
        <w:t xml:space="preserve"> acknowledges that he had not made this known previously.</w:t>
      </w:r>
    </w:p>
    <w:p w:rsidR="00F22183" w:rsidRDefault="00EB2A8C" w:rsidP="00B418CA">
      <w:pPr>
        <w:pStyle w:val="Body"/>
        <w:spacing w:before="120"/>
        <w:ind w:left="720"/>
        <w:jc w:val="both"/>
        <w:rPr>
          <w:rFonts w:ascii="Arial" w:eastAsia="Lato" w:hAnsi="Arial" w:cs="Arial"/>
          <w:iCs/>
          <w:lang w:val="en-US"/>
        </w:rPr>
      </w:pPr>
      <w:r w:rsidRPr="00B817C6">
        <w:rPr>
          <w:rFonts w:ascii="Arial" w:eastAsia="Lato" w:hAnsi="Arial" w:cs="Arial"/>
          <w:iCs/>
          <w:lang w:val="en-US"/>
        </w:rPr>
        <w:t xml:space="preserve">At the time of the call, </w:t>
      </w:r>
      <w:r w:rsidR="00B817C6">
        <w:rPr>
          <w:rFonts w:ascii="Arial" w:eastAsia="Lato" w:hAnsi="Arial" w:cs="Arial"/>
          <w:iCs/>
          <w:lang w:val="en-US"/>
        </w:rPr>
        <w:t>there</w:t>
      </w:r>
      <w:r w:rsidRPr="00B817C6">
        <w:rPr>
          <w:rFonts w:ascii="Arial" w:eastAsia="Lato" w:hAnsi="Arial" w:cs="Arial"/>
          <w:iCs/>
          <w:lang w:val="en-US"/>
        </w:rPr>
        <w:t xml:space="preserve"> was </w:t>
      </w:r>
      <w:r w:rsidR="00B817C6">
        <w:rPr>
          <w:rFonts w:ascii="Arial" w:eastAsia="Lato" w:hAnsi="Arial" w:cs="Arial"/>
          <w:iCs/>
          <w:lang w:val="en-US"/>
        </w:rPr>
        <w:t xml:space="preserve">a </w:t>
      </w:r>
      <w:r w:rsidRPr="00B817C6">
        <w:rPr>
          <w:rFonts w:ascii="Arial" w:eastAsia="Lato" w:hAnsi="Arial" w:cs="Arial"/>
          <w:iCs/>
          <w:lang w:val="en-US"/>
        </w:rPr>
        <w:t>pending</w:t>
      </w:r>
      <w:r w:rsidR="00AB2052">
        <w:rPr>
          <w:rFonts w:ascii="Arial" w:eastAsia="Lato" w:hAnsi="Arial" w:cs="Arial"/>
          <w:iCs/>
          <w:lang w:val="en-US"/>
        </w:rPr>
        <w:t xml:space="preserve"> of $50,000 placed</w:t>
      </w:r>
      <w:r w:rsidR="00F22183">
        <w:rPr>
          <w:rFonts w:ascii="Arial" w:eastAsia="Lato" w:hAnsi="Arial" w:cs="Arial"/>
          <w:iCs/>
          <w:lang w:val="en-US"/>
        </w:rPr>
        <w:t xml:space="preserve"> that had been accepted.</w:t>
      </w:r>
      <w:r w:rsidR="00F22183" w:rsidRPr="00F22183">
        <w:rPr>
          <w:rFonts w:ascii="Arial" w:eastAsia="Lato" w:hAnsi="Arial" w:cs="Arial"/>
          <w:iCs/>
          <w:lang w:val="en-US"/>
        </w:rPr>
        <w:t xml:space="preserve"> </w:t>
      </w:r>
      <w:r w:rsidR="00F22183" w:rsidRPr="00B817C6">
        <w:rPr>
          <w:rFonts w:ascii="Arial" w:eastAsia="Lato" w:hAnsi="Arial" w:cs="Arial"/>
          <w:iCs/>
          <w:lang w:val="en-US"/>
        </w:rPr>
        <w:t>The account was immediately suspended.</w:t>
      </w:r>
      <w:r w:rsidR="00F22183">
        <w:rPr>
          <w:rFonts w:ascii="Arial" w:eastAsia="Lato" w:hAnsi="Arial" w:cs="Arial"/>
          <w:iCs/>
          <w:lang w:val="en-US"/>
        </w:rPr>
        <w:t xml:space="preserve"> </w:t>
      </w:r>
    </w:p>
    <w:p w:rsidR="00F22183" w:rsidRPr="00F22183" w:rsidRDefault="00F22183" w:rsidP="00B418CA">
      <w:pPr>
        <w:pStyle w:val="Body"/>
        <w:numPr>
          <w:ilvl w:val="0"/>
          <w:numId w:val="19"/>
        </w:numPr>
        <w:spacing w:before="120"/>
        <w:jc w:val="both"/>
        <w:rPr>
          <w:rFonts w:ascii="Arial" w:eastAsia="Lato" w:hAnsi="Arial" w:cs="Arial"/>
          <w:iCs/>
        </w:rPr>
      </w:pPr>
      <w:r w:rsidRPr="00F22183">
        <w:rPr>
          <w:rFonts w:ascii="Arial" w:eastAsia="Lato" w:hAnsi="Arial" w:cs="Arial"/>
          <w:iCs/>
          <w:lang w:val="en-US"/>
        </w:rPr>
        <w:t>During this call, however, CrownBet offered to cancel the $50,000 pending bet.</w:t>
      </w:r>
    </w:p>
    <w:p w:rsidR="00F22183" w:rsidRPr="00F22183" w:rsidRDefault="00F22183" w:rsidP="00B418CA">
      <w:pPr>
        <w:pStyle w:val="Body"/>
        <w:spacing w:before="120"/>
        <w:ind w:left="720"/>
        <w:jc w:val="both"/>
        <w:rPr>
          <w:rFonts w:ascii="Arial" w:eastAsia="Lato" w:hAnsi="Arial" w:cs="Arial"/>
          <w:iCs/>
        </w:rPr>
      </w:pPr>
      <w:r w:rsidRPr="00F22183">
        <w:rPr>
          <w:rFonts w:ascii="Arial" w:eastAsia="Lato" w:hAnsi="Arial" w:cs="Arial"/>
          <w:iCs/>
          <w:lang w:val="en-US"/>
        </w:rPr>
        <w:t xml:space="preserve">Mr </w:t>
      </w:r>
      <w:r w:rsidR="00F80A91">
        <w:rPr>
          <w:rFonts w:ascii="Arial" w:eastAsia="Lato" w:hAnsi="Arial" w:cs="Arial"/>
          <w:iCs/>
          <w:lang w:val="en-US"/>
        </w:rPr>
        <w:t>W</w:t>
      </w:r>
      <w:r w:rsidRPr="00F22183">
        <w:rPr>
          <w:rFonts w:ascii="Arial" w:eastAsia="Lato" w:hAnsi="Arial" w:cs="Arial"/>
          <w:iCs/>
          <w:lang w:val="en-US"/>
        </w:rPr>
        <w:t xml:space="preserve"> rejected the offer to cancel the bet.</w:t>
      </w:r>
    </w:p>
    <w:p w:rsidR="00F22183" w:rsidRPr="00F22183" w:rsidRDefault="00EB2A8C" w:rsidP="00B418CA">
      <w:pPr>
        <w:pStyle w:val="Body"/>
        <w:numPr>
          <w:ilvl w:val="0"/>
          <w:numId w:val="19"/>
        </w:numPr>
        <w:spacing w:before="120"/>
        <w:jc w:val="both"/>
        <w:rPr>
          <w:rFonts w:ascii="Lato" w:eastAsia="Lato" w:hAnsi="Lato" w:cs="Lato"/>
          <w:i/>
          <w:iCs/>
          <w:sz w:val="22"/>
          <w:szCs w:val="22"/>
          <w:lang w:val="en-US"/>
        </w:rPr>
      </w:pPr>
      <w:r w:rsidRPr="00F22183">
        <w:rPr>
          <w:rFonts w:ascii="Arial" w:eastAsia="Lato" w:hAnsi="Arial" w:cs="Arial"/>
          <w:iCs/>
          <w:lang w:val="en-US"/>
        </w:rPr>
        <w:t xml:space="preserve">CrownBet considers that whilst the withdrawal functionality should have been enabled at the time the verification was processed, Mr </w:t>
      </w:r>
      <w:r w:rsidR="00F80A91">
        <w:rPr>
          <w:rFonts w:ascii="Arial" w:eastAsia="Lato" w:hAnsi="Arial" w:cs="Arial"/>
          <w:iCs/>
          <w:lang w:val="en-US"/>
        </w:rPr>
        <w:t>W</w:t>
      </w:r>
      <w:r w:rsidRPr="00F22183">
        <w:rPr>
          <w:rFonts w:ascii="Arial" w:eastAsia="Lato" w:hAnsi="Arial" w:cs="Arial"/>
          <w:iCs/>
          <w:lang w:val="en-US"/>
        </w:rPr>
        <w:t xml:space="preserve"> el</w:t>
      </w:r>
      <w:r w:rsidR="00F22183">
        <w:rPr>
          <w:rFonts w:ascii="Arial" w:eastAsia="Lato" w:hAnsi="Arial" w:cs="Arial"/>
          <w:iCs/>
          <w:lang w:val="en-US"/>
        </w:rPr>
        <w:t xml:space="preserve">ected to continue to place bets. </w:t>
      </w:r>
    </w:p>
    <w:p w:rsidR="00445434" w:rsidRPr="00F22183" w:rsidRDefault="00F22183" w:rsidP="00B418CA">
      <w:pPr>
        <w:pStyle w:val="Body"/>
        <w:numPr>
          <w:ilvl w:val="0"/>
          <w:numId w:val="19"/>
        </w:numPr>
        <w:spacing w:before="120"/>
        <w:jc w:val="both"/>
        <w:rPr>
          <w:rFonts w:ascii="Lato" w:eastAsia="Lato" w:hAnsi="Lato" w:cs="Lato"/>
          <w:i/>
          <w:iCs/>
          <w:sz w:val="22"/>
          <w:szCs w:val="22"/>
          <w:lang w:val="en-US"/>
        </w:rPr>
      </w:pPr>
      <w:r>
        <w:rPr>
          <w:rFonts w:ascii="Arial" w:eastAsia="Lato" w:hAnsi="Arial" w:cs="Arial"/>
          <w:iCs/>
          <w:lang w:val="en-US"/>
        </w:rPr>
        <w:t>D</w:t>
      </w:r>
      <w:r w:rsidR="00EB2A8C" w:rsidRPr="00F22183">
        <w:rPr>
          <w:rFonts w:ascii="Arial" w:eastAsia="Lato" w:hAnsi="Arial" w:cs="Arial"/>
          <w:iCs/>
          <w:lang w:val="en-US"/>
        </w:rPr>
        <w:t>espite his attempt</w:t>
      </w:r>
      <w:r>
        <w:rPr>
          <w:rFonts w:ascii="Arial" w:eastAsia="Lato" w:hAnsi="Arial" w:cs="Arial"/>
          <w:iCs/>
          <w:lang w:val="en-US"/>
        </w:rPr>
        <w:t xml:space="preserve"> to reactivate his account, </w:t>
      </w:r>
      <w:r w:rsidR="00EB2A8C" w:rsidRPr="00F22183">
        <w:rPr>
          <w:rFonts w:ascii="Arial" w:eastAsia="Lato" w:hAnsi="Arial" w:cs="Arial"/>
          <w:iCs/>
          <w:lang w:val="en-US"/>
        </w:rPr>
        <w:t xml:space="preserve">no further bets were taken once Mr </w:t>
      </w:r>
      <w:r w:rsidR="00F80A91">
        <w:rPr>
          <w:rFonts w:ascii="Arial" w:eastAsia="Lato" w:hAnsi="Arial" w:cs="Arial"/>
          <w:iCs/>
          <w:lang w:val="en-US"/>
        </w:rPr>
        <w:t>W</w:t>
      </w:r>
      <w:r w:rsidR="00EB2A8C" w:rsidRPr="00F22183">
        <w:rPr>
          <w:rFonts w:ascii="Arial" w:eastAsia="Lato" w:hAnsi="Arial" w:cs="Arial"/>
          <w:iCs/>
          <w:lang w:val="en-US"/>
        </w:rPr>
        <w:t xml:space="preserve"> identified he was gambling outside of his means.</w:t>
      </w:r>
    </w:p>
    <w:p w:rsidR="00445434" w:rsidRDefault="00EB2A8C" w:rsidP="00B418CA">
      <w:pPr>
        <w:pStyle w:val="Heading2"/>
        <w:spacing w:before="480" w:line="360" w:lineRule="auto"/>
      </w:pPr>
      <w:r>
        <w:lastRenderedPageBreak/>
        <w:t>Consideration of the Issues</w:t>
      </w:r>
    </w:p>
    <w:p w:rsidR="00F22183" w:rsidRPr="005E6DDF" w:rsidRDefault="00EB2A8C" w:rsidP="005E6DDF">
      <w:pPr>
        <w:pStyle w:val="Body"/>
        <w:numPr>
          <w:ilvl w:val="0"/>
          <w:numId w:val="19"/>
        </w:numPr>
        <w:ind w:left="714" w:hanging="357"/>
        <w:jc w:val="both"/>
        <w:rPr>
          <w:rFonts w:ascii="Arial" w:eastAsia="Lato" w:hAnsi="Arial" w:cs="Arial"/>
        </w:rPr>
      </w:pPr>
      <w:r>
        <w:rPr>
          <w:rFonts w:ascii="Lato" w:eastAsia="Lato" w:hAnsi="Lato" w:cs="Lato"/>
          <w:sz w:val="22"/>
          <w:szCs w:val="22"/>
          <w:lang w:val="en-US"/>
        </w:rPr>
        <w:t xml:space="preserve"> </w:t>
      </w:r>
      <w:r w:rsidRPr="00F22183">
        <w:rPr>
          <w:rFonts w:ascii="Arial" w:eastAsia="Lato" w:hAnsi="Arial" w:cs="Arial"/>
          <w:lang w:val="en-US"/>
        </w:rPr>
        <w:t>The Racing Commission considers problem gambling to be the most serious of issues and holds all bookmakers to a high standard with regards to any breaches.</w:t>
      </w:r>
    </w:p>
    <w:p w:rsidR="005E6DDF" w:rsidRDefault="005E6DDF" w:rsidP="005E6DDF">
      <w:pPr>
        <w:pStyle w:val="Body"/>
        <w:ind w:left="714"/>
        <w:jc w:val="both"/>
        <w:rPr>
          <w:rFonts w:ascii="Arial" w:eastAsia="Lato" w:hAnsi="Arial" w:cs="Arial"/>
        </w:rPr>
      </w:pPr>
    </w:p>
    <w:p w:rsidR="00F22183" w:rsidRPr="005E6DDF" w:rsidRDefault="00EB2A8C" w:rsidP="005E6DDF">
      <w:pPr>
        <w:pStyle w:val="Body"/>
        <w:numPr>
          <w:ilvl w:val="0"/>
          <w:numId w:val="19"/>
        </w:numPr>
        <w:ind w:left="714" w:hanging="357"/>
        <w:jc w:val="both"/>
        <w:rPr>
          <w:rFonts w:ascii="Arial" w:eastAsia="Lato" w:hAnsi="Arial" w:cs="Arial"/>
        </w:rPr>
      </w:pPr>
      <w:r w:rsidRPr="00F22183">
        <w:rPr>
          <w:rFonts w:ascii="Arial" w:eastAsia="Lato" w:hAnsi="Arial" w:cs="Arial"/>
          <w:lang w:val="en-US"/>
        </w:rPr>
        <w:t>All bookmakers</w:t>
      </w:r>
      <w:r w:rsidRPr="00F22183">
        <w:rPr>
          <w:rFonts w:ascii="Arial" w:eastAsia="Lato" w:hAnsi="Arial" w:cs="Arial"/>
          <w:lang w:val="fr-FR"/>
        </w:rPr>
        <w:t xml:space="preserve">’ </w:t>
      </w:r>
      <w:r w:rsidRPr="00F22183">
        <w:rPr>
          <w:rFonts w:ascii="Arial" w:eastAsia="Lato" w:hAnsi="Arial" w:cs="Arial"/>
          <w:lang w:val="en-US"/>
        </w:rPr>
        <w:t xml:space="preserve">licence conditions and the </w:t>
      </w:r>
      <w:r w:rsidRPr="00F22183">
        <w:rPr>
          <w:rFonts w:ascii="Arial" w:eastAsia="Lato" w:hAnsi="Arial" w:cs="Arial"/>
          <w:i/>
          <w:iCs/>
          <w:lang w:val="en-US"/>
        </w:rPr>
        <w:t>Racing and Betting Act</w:t>
      </w:r>
      <w:r w:rsidRPr="00F22183">
        <w:rPr>
          <w:rFonts w:ascii="Arial" w:eastAsia="Lato" w:hAnsi="Arial" w:cs="Arial"/>
          <w:lang w:val="en-US"/>
        </w:rPr>
        <w:t xml:space="preserve">, require the bookmakers to comply with the </w:t>
      </w:r>
      <w:r w:rsidRPr="00F22183">
        <w:rPr>
          <w:rFonts w:ascii="Arial" w:eastAsia="Lato" w:hAnsi="Arial" w:cs="Arial"/>
          <w:i/>
          <w:iCs/>
          <w:lang w:val="en-US"/>
        </w:rPr>
        <w:t xml:space="preserve">Northern Territory Code of Practice </w:t>
      </w:r>
      <w:proofErr w:type="gramStart"/>
      <w:r w:rsidRPr="00F22183">
        <w:rPr>
          <w:rFonts w:ascii="Arial" w:eastAsia="Lato" w:hAnsi="Arial" w:cs="Arial"/>
          <w:i/>
          <w:iCs/>
          <w:lang w:val="en-US"/>
        </w:rPr>
        <w:t>For</w:t>
      </w:r>
      <w:proofErr w:type="gramEnd"/>
      <w:r w:rsidRPr="00F22183">
        <w:rPr>
          <w:rFonts w:ascii="Arial" w:eastAsia="Lato" w:hAnsi="Arial" w:cs="Arial"/>
          <w:i/>
          <w:iCs/>
          <w:lang w:val="en-US"/>
        </w:rPr>
        <w:t xml:space="preserve"> Responsible Online Gambling</w:t>
      </w:r>
      <w:r w:rsidRPr="00F22183">
        <w:rPr>
          <w:rFonts w:ascii="Arial" w:eastAsia="Lato" w:hAnsi="Arial" w:cs="Arial"/>
          <w:lang w:val="en-US"/>
        </w:rPr>
        <w:t xml:space="preserve"> (the Code). The Code places requirements on the bookmaker:</w:t>
      </w:r>
    </w:p>
    <w:p w:rsidR="005E6DDF" w:rsidRDefault="005E6DDF" w:rsidP="005E6DDF">
      <w:pPr>
        <w:pStyle w:val="Body"/>
        <w:ind w:left="714"/>
        <w:jc w:val="both"/>
        <w:rPr>
          <w:rFonts w:ascii="Arial" w:eastAsia="Lato" w:hAnsi="Arial" w:cs="Arial"/>
        </w:rPr>
      </w:pPr>
    </w:p>
    <w:p w:rsidR="00F22183" w:rsidRPr="005E6DDF" w:rsidRDefault="00EB2A8C" w:rsidP="005E6DDF">
      <w:pPr>
        <w:pStyle w:val="Body"/>
        <w:numPr>
          <w:ilvl w:val="0"/>
          <w:numId w:val="19"/>
        </w:numPr>
        <w:ind w:left="714" w:hanging="357"/>
        <w:jc w:val="both"/>
        <w:rPr>
          <w:rFonts w:ascii="Arial" w:eastAsia="Lato" w:hAnsi="Arial" w:cs="Arial"/>
        </w:rPr>
      </w:pPr>
      <w:r w:rsidRPr="00F22183">
        <w:rPr>
          <w:rFonts w:ascii="Arial" w:eastAsia="Lato" w:hAnsi="Arial" w:cs="Arial"/>
          <w:lang w:val="en-US"/>
        </w:rPr>
        <w:t>The Northern Territory community expects gambling services to be provided in a responsible manner and in harmony with community expectations. This Code sets out certain practices to be adopted by Northern Territory gambling providers in the provision of their services, so as to minimise the harm to consumers that may be adversely affected by gambling.</w:t>
      </w:r>
    </w:p>
    <w:p w:rsidR="00F22183" w:rsidRPr="00F22183" w:rsidRDefault="00EB2A8C" w:rsidP="005E6DDF">
      <w:pPr>
        <w:pStyle w:val="Body"/>
        <w:numPr>
          <w:ilvl w:val="0"/>
          <w:numId w:val="19"/>
        </w:numPr>
        <w:spacing w:before="240" w:after="240"/>
        <w:ind w:left="714" w:hanging="357"/>
        <w:jc w:val="both"/>
        <w:rPr>
          <w:rFonts w:ascii="Arial" w:eastAsia="Lato" w:hAnsi="Arial" w:cs="Arial"/>
        </w:rPr>
      </w:pPr>
      <w:r w:rsidRPr="00F22183">
        <w:rPr>
          <w:rFonts w:ascii="Arial" w:eastAsia="Lato" w:hAnsi="Arial" w:cs="Arial"/>
          <w:lang w:val="en-US"/>
        </w:rPr>
        <w:t>The Code is also in line with established common law principles of autonomy of the individual in that:</w:t>
      </w:r>
      <w:r w:rsidR="00F22183">
        <w:rPr>
          <w:rFonts w:ascii="Arial" w:eastAsia="Lato" w:hAnsi="Arial" w:cs="Arial"/>
        </w:rPr>
        <w:t xml:space="preserve"> </w:t>
      </w:r>
      <w:r w:rsidRPr="00F22183">
        <w:rPr>
          <w:rFonts w:ascii="Arial" w:eastAsia="Lato" w:hAnsi="Arial" w:cs="Arial"/>
          <w:lang w:val="en-US"/>
        </w:rPr>
        <w:t xml:space="preserve">4.1 Patron Responsibility. Gambling patrons will be encouraged to take responsibility for their gambling activity. Gambling providers are to provide patrons who feel they are developing a problem with gambling with the option of excluding themselves </w:t>
      </w:r>
      <w:r w:rsidR="00F22183">
        <w:rPr>
          <w:rFonts w:ascii="Arial" w:eastAsia="Lato" w:hAnsi="Arial" w:cs="Arial"/>
          <w:lang w:val="en-US"/>
        </w:rPr>
        <w:t>from the gambling venue or site</w:t>
      </w:r>
    </w:p>
    <w:p w:rsidR="00F22183" w:rsidRDefault="00EB2A8C" w:rsidP="005E6DDF">
      <w:pPr>
        <w:pStyle w:val="Body"/>
        <w:numPr>
          <w:ilvl w:val="0"/>
          <w:numId w:val="19"/>
        </w:numPr>
        <w:spacing w:before="240" w:after="240"/>
        <w:ind w:left="714" w:hanging="357"/>
        <w:jc w:val="both"/>
        <w:rPr>
          <w:rFonts w:ascii="Arial" w:eastAsia="Lato" w:hAnsi="Arial" w:cs="Arial"/>
        </w:rPr>
      </w:pPr>
      <w:r w:rsidRPr="00F22183">
        <w:rPr>
          <w:rFonts w:ascii="Arial" w:eastAsia="Lato" w:hAnsi="Arial" w:cs="Arial"/>
          <w:lang w:val="en-US"/>
        </w:rPr>
        <w:t>Responsible gambling</w:t>
      </w:r>
      <w:r w:rsidRPr="00F22183">
        <w:rPr>
          <w:rFonts w:ascii="Arial" w:eastAsia="Lato" w:hAnsi="Arial" w:cs="Arial"/>
        </w:rPr>
        <w:t xml:space="preserve">” </w:t>
      </w:r>
      <w:r w:rsidRPr="00F22183">
        <w:rPr>
          <w:rFonts w:ascii="Arial" w:eastAsia="Lato" w:hAnsi="Arial" w:cs="Arial"/>
          <w:lang w:val="en-US"/>
        </w:rPr>
        <w:t>is a broad concept and involves the conduct of gambling in a manner whereby the potential for harm associated with gambling is minimised. It respects the responsibility of individuals for their own actions, but also acknowledges a responsibility on the part of the service providers.</w:t>
      </w:r>
    </w:p>
    <w:p w:rsidR="00F22183" w:rsidRDefault="00EB2A8C" w:rsidP="005E6DDF">
      <w:pPr>
        <w:pStyle w:val="Body"/>
        <w:numPr>
          <w:ilvl w:val="0"/>
          <w:numId w:val="19"/>
        </w:numPr>
        <w:spacing w:before="240" w:after="240"/>
        <w:ind w:left="714" w:hanging="357"/>
        <w:jc w:val="both"/>
        <w:rPr>
          <w:rFonts w:ascii="Arial" w:eastAsia="Lato" w:hAnsi="Arial" w:cs="Arial"/>
        </w:rPr>
      </w:pPr>
      <w:r w:rsidRPr="00F22183">
        <w:rPr>
          <w:rFonts w:ascii="Arial" w:eastAsia="Lato" w:hAnsi="Arial" w:cs="Arial"/>
          <w:lang w:val="en-US"/>
        </w:rPr>
        <w:t>Responsible gambling has regard to the context in which gambling occurs, the inducements made to gamble, the way the gambling service operates and the integrity of the gambling operator.  The aim is to enable persons to make informed decisions about their participation in gambling and, if harm has occurred, to provide access to gambling help services.</w:t>
      </w:r>
    </w:p>
    <w:p w:rsidR="00F22183" w:rsidRPr="00F22183" w:rsidRDefault="00EB2A8C" w:rsidP="005E6DDF">
      <w:pPr>
        <w:pStyle w:val="Body"/>
        <w:numPr>
          <w:ilvl w:val="0"/>
          <w:numId w:val="19"/>
        </w:numPr>
        <w:spacing w:before="240" w:after="240"/>
        <w:ind w:left="714" w:hanging="357"/>
        <w:jc w:val="both"/>
        <w:rPr>
          <w:rFonts w:ascii="Arial" w:eastAsia="Lato" w:hAnsi="Arial" w:cs="Arial"/>
        </w:rPr>
      </w:pPr>
      <w:r w:rsidRPr="00F22183">
        <w:rPr>
          <w:rFonts w:ascii="Arial" w:eastAsia="Lato" w:hAnsi="Arial" w:cs="Arial"/>
          <w:lang w:val="en-US"/>
        </w:rPr>
        <w:t>The bookmaker identified in this dispute has easily accessible and specific sections on their website dedicated to responsible gambling and has dedicated personnel trained in this area.</w:t>
      </w:r>
    </w:p>
    <w:p w:rsidR="00445434" w:rsidRPr="00F22183" w:rsidRDefault="00EB2A8C" w:rsidP="005E6DDF">
      <w:pPr>
        <w:pStyle w:val="Body"/>
        <w:numPr>
          <w:ilvl w:val="0"/>
          <w:numId w:val="19"/>
        </w:numPr>
        <w:spacing w:before="240" w:after="240"/>
        <w:ind w:left="714" w:hanging="357"/>
        <w:jc w:val="both"/>
        <w:rPr>
          <w:rFonts w:ascii="Arial" w:eastAsia="Lato" w:hAnsi="Arial" w:cs="Arial"/>
        </w:rPr>
      </w:pPr>
      <w:r w:rsidRPr="00F22183">
        <w:rPr>
          <w:rFonts w:ascii="Arial" w:eastAsia="Lato" w:hAnsi="Arial" w:cs="Arial"/>
          <w:lang w:val="en-US"/>
        </w:rPr>
        <w:t>It is well established that the Courts have set a very high threshold of responsibility for the gambler as to their own actions. It is suggested that only in the most extreme cases of deliberate and gross conduct by the operator who has knowledge of the vulnerability of the problem gambler, that there would be any duty owed to prevent loss.</w:t>
      </w:r>
    </w:p>
    <w:p w:rsidR="009E0858" w:rsidRDefault="00EB2A8C" w:rsidP="005E6DDF">
      <w:pPr>
        <w:pStyle w:val="Body"/>
        <w:numPr>
          <w:ilvl w:val="0"/>
          <w:numId w:val="19"/>
        </w:numPr>
        <w:spacing w:before="240" w:after="240"/>
        <w:ind w:left="714" w:hanging="357"/>
        <w:jc w:val="both"/>
        <w:rPr>
          <w:rFonts w:ascii="Arial" w:eastAsia="Lato" w:hAnsi="Arial" w:cs="Arial"/>
        </w:rPr>
      </w:pPr>
      <w:r w:rsidRPr="006C124F">
        <w:rPr>
          <w:rFonts w:ascii="Arial" w:eastAsia="Lato" w:hAnsi="Arial" w:cs="Arial"/>
          <w:lang w:val="en-US"/>
        </w:rPr>
        <w:t>On review of all submissions there is no evidence of the client advising the bookmaker of his problem gambling prior to the telephone call on 1 October 2017 and therefore on the balance of probabilities it is reasonable to conclude that the bookmaker had no such knowledge until the aforementioned call.</w:t>
      </w:r>
    </w:p>
    <w:p w:rsidR="009E0858" w:rsidRDefault="00EB2A8C" w:rsidP="005E6DDF">
      <w:pPr>
        <w:pStyle w:val="Body"/>
        <w:numPr>
          <w:ilvl w:val="0"/>
          <w:numId w:val="19"/>
        </w:numPr>
        <w:spacing w:before="240" w:after="240"/>
        <w:ind w:left="714" w:hanging="357"/>
        <w:jc w:val="both"/>
        <w:rPr>
          <w:rFonts w:ascii="Arial" w:eastAsia="Lato" w:hAnsi="Arial" w:cs="Arial"/>
        </w:rPr>
      </w:pPr>
      <w:r w:rsidRPr="009E0858">
        <w:rPr>
          <w:rFonts w:ascii="Arial" w:eastAsia="Lato" w:hAnsi="Arial" w:cs="Arial"/>
          <w:lang w:val="en-US"/>
        </w:rPr>
        <w:t>This position is confirmed by the bookmaker</w:t>
      </w:r>
      <w:r w:rsidRPr="009E0858">
        <w:rPr>
          <w:rFonts w:ascii="Arial" w:eastAsia="Lato" w:hAnsi="Arial" w:cs="Arial"/>
          <w:lang w:val="fr-FR"/>
        </w:rPr>
        <w:t>’</w:t>
      </w:r>
      <w:r w:rsidRPr="009E0858">
        <w:rPr>
          <w:rFonts w:ascii="Arial" w:eastAsia="Lato" w:hAnsi="Arial" w:cs="Arial"/>
          <w:lang w:val="en-US"/>
        </w:rPr>
        <w:t>s submission that the first time the client provided them with the requisite knowledge of problem gambling was in the telephone call referred to above. That said and upon receiving the notification the bookmaker immediately advised the client of their decision to close his account.</w:t>
      </w:r>
    </w:p>
    <w:p w:rsidR="009E0858" w:rsidRDefault="00EB2A8C" w:rsidP="005E6DDF">
      <w:pPr>
        <w:pStyle w:val="Body"/>
        <w:numPr>
          <w:ilvl w:val="0"/>
          <w:numId w:val="19"/>
        </w:numPr>
        <w:spacing w:before="240" w:after="240"/>
        <w:ind w:left="714" w:hanging="357"/>
        <w:jc w:val="both"/>
        <w:rPr>
          <w:rFonts w:ascii="Arial" w:eastAsia="Lato" w:hAnsi="Arial" w:cs="Arial"/>
        </w:rPr>
      </w:pPr>
      <w:r w:rsidRPr="009E0858">
        <w:rPr>
          <w:rFonts w:ascii="Arial" w:eastAsia="Lato" w:hAnsi="Arial" w:cs="Arial"/>
          <w:lang w:val="en-US"/>
        </w:rPr>
        <w:lastRenderedPageBreak/>
        <w:t>The bookmaker has provided no evidence of providing the client with links to their gambling policy, support agencies or information on how to self-exclude from other operators.</w:t>
      </w:r>
    </w:p>
    <w:p w:rsidR="009E0858" w:rsidRDefault="00EB2A8C" w:rsidP="00B418CA">
      <w:pPr>
        <w:pStyle w:val="Body"/>
        <w:numPr>
          <w:ilvl w:val="0"/>
          <w:numId w:val="19"/>
        </w:numPr>
        <w:jc w:val="both"/>
        <w:rPr>
          <w:rFonts w:ascii="Arial" w:eastAsia="Lato" w:hAnsi="Arial" w:cs="Arial"/>
        </w:rPr>
      </w:pPr>
      <w:r w:rsidRPr="009E0858">
        <w:rPr>
          <w:rFonts w:ascii="Arial" w:eastAsia="Lato" w:hAnsi="Arial" w:cs="Arial"/>
          <w:lang w:val="en-US"/>
        </w:rPr>
        <w:t>Evidence suggests that the client was afforded the ability to cancel the $50,000 pending bet, after the decision had already been made to close his account. The client rejected the offer to cancel the bet. The bet went on to lose and the client did not contact the trading team to request a cash-out value at any time during the match. As a result the bet was settled as a losing bet.</w:t>
      </w:r>
    </w:p>
    <w:p w:rsidR="009E0858" w:rsidRDefault="009E0858" w:rsidP="00B418CA">
      <w:pPr>
        <w:pStyle w:val="ListParagraph"/>
        <w:jc w:val="both"/>
        <w:rPr>
          <w:rFonts w:ascii="Arial" w:eastAsia="Lato" w:hAnsi="Arial" w:cs="Arial"/>
        </w:rPr>
      </w:pPr>
    </w:p>
    <w:p w:rsidR="009E0858" w:rsidRDefault="00EB2A8C" w:rsidP="00B418CA">
      <w:pPr>
        <w:pStyle w:val="Body"/>
        <w:numPr>
          <w:ilvl w:val="0"/>
          <w:numId w:val="19"/>
        </w:numPr>
        <w:jc w:val="both"/>
        <w:rPr>
          <w:rFonts w:ascii="Arial" w:eastAsia="Lato" w:hAnsi="Arial" w:cs="Arial"/>
        </w:rPr>
      </w:pPr>
      <w:r w:rsidRPr="009E0858">
        <w:rPr>
          <w:rFonts w:ascii="Arial" w:eastAsia="Lato" w:hAnsi="Arial" w:cs="Arial"/>
          <w:lang w:val="en-US"/>
        </w:rPr>
        <w:t>Evidence suggests that whilst the withdrawal functionality should have been enabled on the clients account at the time of the verification process, the client elected to continue to place bets up until the closure on 1 October 2017.</w:t>
      </w:r>
    </w:p>
    <w:p w:rsidR="009E0858" w:rsidRDefault="009E0858" w:rsidP="00B418CA">
      <w:pPr>
        <w:pStyle w:val="ListParagraph"/>
        <w:jc w:val="both"/>
        <w:rPr>
          <w:rFonts w:ascii="Arial" w:eastAsia="Lato" w:hAnsi="Arial" w:cs="Arial"/>
        </w:rPr>
      </w:pPr>
    </w:p>
    <w:p w:rsidR="009E0858" w:rsidRDefault="00EB2A8C" w:rsidP="00B418CA">
      <w:pPr>
        <w:pStyle w:val="Body"/>
        <w:numPr>
          <w:ilvl w:val="0"/>
          <w:numId w:val="19"/>
        </w:numPr>
        <w:jc w:val="both"/>
        <w:rPr>
          <w:rFonts w:ascii="Arial" w:eastAsia="Lato" w:hAnsi="Arial" w:cs="Arial"/>
        </w:rPr>
      </w:pPr>
      <w:r w:rsidRPr="009E0858">
        <w:rPr>
          <w:rFonts w:ascii="Arial" w:eastAsia="Lato" w:hAnsi="Arial" w:cs="Arial"/>
          <w:lang w:val="en-US"/>
        </w:rPr>
        <w:t xml:space="preserve">Evidence provided by the bookmaker supports that prior to 26 September 2017, the client had not gambled with the bookmaker since 17 July 2016 (14 months earlier). The betting history from 15 July 2016 to 17 July 2016, showed the clients bets range </w:t>
      </w:r>
      <w:proofErr w:type="gramStart"/>
      <w:r w:rsidRPr="009E0858">
        <w:rPr>
          <w:rFonts w:ascii="Arial" w:eastAsia="Lato" w:hAnsi="Arial" w:cs="Arial"/>
          <w:lang w:val="en-US"/>
        </w:rPr>
        <w:t>between $3.50 to $700, 8 bets with a total of $1,843.50 over that period</w:t>
      </w:r>
      <w:proofErr w:type="gramEnd"/>
      <w:r w:rsidRPr="009E0858">
        <w:rPr>
          <w:rFonts w:ascii="Arial" w:eastAsia="Lato" w:hAnsi="Arial" w:cs="Arial"/>
          <w:lang w:val="en-US"/>
        </w:rPr>
        <w:t>.</w:t>
      </w:r>
    </w:p>
    <w:p w:rsidR="009E0858" w:rsidRDefault="009E0858" w:rsidP="00B418CA">
      <w:pPr>
        <w:pStyle w:val="ListParagraph"/>
        <w:jc w:val="both"/>
        <w:rPr>
          <w:rFonts w:ascii="Arial" w:eastAsia="Lato" w:hAnsi="Arial" w:cs="Arial"/>
        </w:rPr>
      </w:pPr>
    </w:p>
    <w:p w:rsidR="00445434" w:rsidRPr="009E0858" w:rsidRDefault="00EB2A8C" w:rsidP="00B418CA">
      <w:pPr>
        <w:pStyle w:val="Body"/>
        <w:numPr>
          <w:ilvl w:val="0"/>
          <w:numId w:val="19"/>
        </w:numPr>
        <w:jc w:val="both"/>
        <w:rPr>
          <w:rFonts w:ascii="Arial" w:eastAsia="Lato" w:hAnsi="Arial" w:cs="Arial"/>
        </w:rPr>
      </w:pPr>
      <w:r w:rsidRPr="009E0858">
        <w:rPr>
          <w:rFonts w:ascii="Arial" w:eastAsia="Lato" w:hAnsi="Arial" w:cs="Arial"/>
          <w:lang w:val="en-US"/>
        </w:rPr>
        <w:t xml:space="preserve">The evidence to be considered is whether the number and amount of bets placed by the client from the 26 September 2017 to 1 October 2017, should have been identified by the bookmaker as problem gambling red flag behaviours. The client placed 143 bets ranging from $10.00 to $63,172.00. Total stakes bet throughout this period </w:t>
      </w:r>
      <w:r w:rsidR="00B418CA" w:rsidRPr="009E0858">
        <w:rPr>
          <w:rFonts w:ascii="Arial" w:eastAsia="Lato" w:hAnsi="Arial" w:cs="Arial"/>
          <w:lang w:val="en-US"/>
        </w:rPr>
        <w:t>equaled</w:t>
      </w:r>
      <w:r w:rsidRPr="009E0858">
        <w:rPr>
          <w:rFonts w:ascii="Arial" w:eastAsia="Lato" w:hAnsi="Arial" w:cs="Arial"/>
          <w:lang w:val="en-US"/>
        </w:rPr>
        <w:t xml:space="preserve"> to $493,603.09 (including $3,025 </w:t>
      </w:r>
      <w:proofErr w:type="spellStart"/>
      <w:r w:rsidRPr="009E0858">
        <w:rPr>
          <w:rFonts w:ascii="Arial" w:eastAsia="Lato" w:hAnsi="Arial" w:cs="Arial"/>
          <w:lang w:val="en-US"/>
        </w:rPr>
        <w:t>Freebets</w:t>
      </w:r>
      <w:proofErr w:type="spellEnd"/>
      <w:r w:rsidRPr="009E0858">
        <w:rPr>
          <w:rFonts w:ascii="Arial" w:eastAsia="Lato" w:hAnsi="Arial" w:cs="Arial"/>
          <w:lang w:val="en-US"/>
        </w:rPr>
        <w:t>).</w:t>
      </w:r>
    </w:p>
    <w:p w:rsidR="00445434" w:rsidRPr="00B418CA" w:rsidRDefault="00EB2A8C" w:rsidP="00B418CA">
      <w:pPr>
        <w:pStyle w:val="Heading2"/>
        <w:spacing w:before="480" w:line="360" w:lineRule="auto"/>
      </w:pPr>
      <w:r w:rsidRPr="00B418CA">
        <w:t>Decision</w:t>
      </w:r>
    </w:p>
    <w:p w:rsidR="00803F8B" w:rsidRDefault="00803F8B" w:rsidP="00B418CA">
      <w:pPr>
        <w:pStyle w:val="Body"/>
        <w:numPr>
          <w:ilvl w:val="0"/>
          <w:numId w:val="19"/>
        </w:numPr>
        <w:jc w:val="both"/>
        <w:rPr>
          <w:rFonts w:ascii="Arial" w:eastAsia="Lato" w:hAnsi="Arial" w:cs="Arial"/>
          <w:iCs/>
          <w:lang w:val="en-US"/>
        </w:rPr>
      </w:pPr>
      <w:bookmarkStart w:id="1" w:name="TypeHere"/>
      <w:r>
        <w:rPr>
          <w:rFonts w:ascii="Arial" w:eastAsia="Lato" w:hAnsi="Arial" w:cs="Arial"/>
          <w:iCs/>
          <w:lang w:val="en-US"/>
        </w:rPr>
        <w:t>The</w:t>
      </w:r>
      <w:r w:rsidR="00EB2A8C" w:rsidRPr="009E0858">
        <w:rPr>
          <w:rFonts w:ascii="Arial" w:eastAsia="Lato" w:hAnsi="Arial" w:cs="Arial"/>
          <w:iCs/>
          <w:lang w:val="en-US"/>
        </w:rPr>
        <w:t xml:space="preserve"> Commission accepts the bookmaker closure of the account wa</w:t>
      </w:r>
      <w:r w:rsidR="009E0858">
        <w:rPr>
          <w:rFonts w:ascii="Arial" w:eastAsia="Lato" w:hAnsi="Arial" w:cs="Arial"/>
          <w:iCs/>
          <w:lang w:val="en-US"/>
        </w:rPr>
        <w:t>s appropriate by the bookmaker and that they have not failed in their adhering to the Code.</w:t>
      </w:r>
    </w:p>
    <w:p w:rsidR="00803F8B" w:rsidRDefault="00803F8B" w:rsidP="00B418CA">
      <w:pPr>
        <w:pStyle w:val="Body"/>
        <w:ind w:left="360"/>
        <w:jc w:val="both"/>
        <w:rPr>
          <w:rFonts w:ascii="Arial" w:eastAsia="Lato" w:hAnsi="Arial" w:cs="Arial"/>
          <w:iCs/>
          <w:lang w:val="en-US"/>
        </w:rPr>
      </w:pPr>
    </w:p>
    <w:p w:rsidR="009E0858" w:rsidRDefault="00803F8B" w:rsidP="00B418CA">
      <w:pPr>
        <w:pStyle w:val="Body"/>
        <w:numPr>
          <w:ilvl w:val="0"/>
          <w:numId w:val="19"/>
        </w:numPr>
        <w:jc w:val="both"/>
        <w:rPr>
          <w:rFonts w:ascii="Arial" w:eastAsia="Lato" w:hAnsi="Arial" w:cs="Arial"/>
          <w:iCs/>
          <w:lang w:val="en-US"/>
        </w:rPr>
      </w:pPr>
      <w:r w:rsidRPr="00803F8B">
        <w:rPr>
          <w:rFonts w:ascii="Arial" w:eastAsia="Lato" w:hAnsi="Arial" w:cs="Arial"/>
          <w:iCs/>
          <w:lang w:val="en-US"/>
        </w:rPr>
        <w:t>The Commission</w:t>
      </w:r>
      <w:r>
        <w:rPr>
          <w:rFonts w:ascii="Arial" w:eastAsia="Lato" w:hAnsi="Arial" w:cs="Arial"/>
          <w:iCs/>
          <w:lang w:val="en-US"/>
        </w:rPr>
        <w:t xml:space="preserve"> does however consider that as soon as the bookmaker became aware of the problem gambling issue it should have voided all pending wagers not simply offered to void leaving the decision with an already vulnerable individual and therefore the Commission directs the bookmaker to return the $50,000 to the client</w:t>
      </w:r>
      <w:r w:rsidR="00206022">
        <w:rPr>
          <w:rFonts w:ascii="Arial" w:eastAsia="Lato" w:hAnsi="Arial" w:cs="Arial"/>
          <w:iCs/>
          <w:lang w:val="en-US"/>
        </w:rPr>
        <w:t>.</w:t>
      </w:r>
    </w:p>
    <w:bookmarkEnd w:id="1"/>
    <w:p w:rsidR="00445434" w:rsidRDefault="00EB2A8C" w:rsidP="00B418CA">
      <w:pPr>
        <w:pStyle w:val="Heading2"/>
        <w:spacing w:before="480" w:line="360" w:lineRule="auto"/>
      </w:pPr>
      <w:r w:rsidRPr="00B418CA">
        <w:t>Review</w:t>
      </w:r>
      <w:r>
        <w:t xml:space="preserve"> </w:t>
      </w:r>
      <w:r w:rsidRPr="00B418CA">
        <w:t>of Decision</w:t>
      </w:r>
    </w:p>
    <w:p w:rsidR="00445434" w:rsidRDefault="00EB2A8C" w:rsidP="00B418CA">
      <w:pPr>
        <w:pStyle w:val="Body"/>
        <w:numPr>
          <w:ilvl w:val="0"/>
          <w:numId w:val="19"/>
        </w:numPr>
        <w:spacing w:line="240" w:lineRule="atLeast"/>
        <w:jc w:val="both"/>
        <w:rPr>
          <w:rFonts w:ascii="Arial" w:eastAsia="Arial" w:hAnsi="Arial" w:cs="Arial"/>
        </w:rPr>
      </w:pPr>
      <w:r w:rsidRPr="00B418CA">
        <w:rPr>
          <w:rFonts w:ascii="Arial" w:eastAsia="Lato" w:hAnsi="Arial" w:cs="Arial"/>
          <w:iCs/>
          <w:lang w:val="en-US"/>
        </w:rPr>
        <w:t>Section 85(6) of the Act provides that a determination by the commission of a dispute</w:t>
      </w:r>
      <w:r>
        <w:rPr>
          <w:rFonts w:ascii="Arial" w:hAnsi="Arial"/>
          <w:lang w:val="en-US"/>
        </w:rPr>
        <w:t xml:space="preserve"> referred to under subsection (1) shall be final and conclusive as to the matter in dispute</w:t>
      </w:r>
      <w:r w:rsidR="00206022">
        <w:rPr>
          <w:rFonts w:ascii="Arial" w:hAnsi="Arial"/>
          <w:lang w:val="en-US"/>
        </w:rPr>
        <w:t>.</w:t>
      </w:r>
    </w:p>
    <w:p w:rsidR="00206022" w:rsidRDefault="00206022" w:rsidP="00206022">
      <w:pPr>
        <w:pStyle w:val="Body"/>
        <w:spacing w:line="240" w:lineRule="atLeast"/>
        <w:ind w:left="-567" w:hanging="426"/>
        <w:jc w:val="both"/>
        <w:rPr>
          <w:rFonts w:ascii="Arial" w:eastAsia="Arial" w:hAnsi="Arial" w:cs="Arial"/>
          <w:b/>
          <w:bCs/>
          <w:shd w:val="clear" w:color="auto" w:fill="FFFF00"/>
        </w:rPr>
      </w:pPr>
      <w:r>
        <w:rPr>
          <w:noProof/>
        </w:rPr>
        <w:drawing>
          <wp:inline distT="0" distB="0" distL="0" distR="0" wp14:anchorId="43F14D35" wp14:editId="1B2BC2AC">
            <wp:extent cx="2531059"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5190" cy="923118"/>
                    </a:xfrm>
                    <a:prstGeom prst="rect">
                      <a:avLst/>
                    </a:prstGeom>
                  </pic:spPr>
                </pic:pic>
              </a:graphicData>
            </a:graphic>
          </wp:inline>
        </w:drawing>
      </w:r>
    </w:p>
    <w:p w:rsidR="00206022" w:rsidRPr="00B418CA" w:rsidRDefault="00206022" w:rsidP="00206022">
      <w:pPr>
        <w:pStyle w:val="Body"/>
        <w:spacing w:line="240" w:lineRule="atLeast"/>
        <w:jc w:val="both"/>
        <w:rPr>
          <w:rFonts w:ascii="Arial" w:hAnsi="Arial"/>
          <w:b/>
          <w:lang w:val="en-US"/>
        </w:rPr>
      </w:pPr>
      <w:r w:rsidRPr="00B418CA">
        <w:rPr>
          <w:rFonts w:ascii="Arial" w:hAnsi="Arial"/>
          <w:b/>
          <w:lang w:val="en-US"/>
        </w:rPr>
        <w:t>David Loy</w:t>
      </w:r>
    </w:p>
    <w:p w:rsidR="00206022" w:rsidRDefault="00206022" w:rsidP="00206022">
      <w:pPr>
        <w:pStyle w:val="Body"/>
        <w:spacing w:line="240" w:lineRule="atLeast"/>
        <w:jc w:val="both"/>
        <w:rPr>
          <w:rFonts w:ascii="Arial" w:hAnsi="Arial"/>
          <w:lang w:val="en-US"/>
        </w:rPr>
      </w:pPr>
      <w:r>
        <w:rPr>
          <w:rFonts w:ascii="Arial" w:hAnsi="Arial"/>
          <w:lang w:val="en-US"/>
        </w:rPr>
        <w:t>Presiding Member</w:t>
      </w:r>
    </w:p>
    <w:p w:rsidR="00206022" w:rsidRDefault="00206022" w:rsidP="00206022">
      <w:pPr>
        <w:pStyle w:val="Body"/>
        <w:spacing w:line="360" w:lineRule="auto"/>
        <w:jc w:val="both"/>
        <w:rPr>
          <w:rFonts w:ascii="Arial" w:eastAsia="Arial" w:hAnsi="Arial" w:cs="Arial"/>
        </w:rPr>
      </w:pPr>
      <w:r w:rsidRPr="00B418CA">
        <w:rPr>
          <w:rFonts w:ascii="Arial" w:hAnsi="Arial"/>
          <w:lang w:val="en-US"/>
        </w:rPr>
        <w:t>Racing Commission</w:t>
      </w:r>
    </w:p>
    <w:p w:rsidR="00445434" w:rsidRPr="00206022" w:rsidRDefault="00206022" w:rsidP="00206022">
      <w:pPr>
        <w:pStyle w:val="Body"/>
        <w:spacing w:line="240" w:lineRule="atLeast"/>
        <w:jc w:val="both"/>
        <w:rPr>
          <w:rFonts w:ascii="Arial" w:eastAsia="Arial" w:hAnsi="Arial" w:cs="Arial"/>
        </w:rPr>
      </w:pPr>
      <w:r>
        <w:rPr>
          <w:rFonts w:ascii="Arial" w:eastAsia="Arial" w:hAnsi="Arial" w:cs="Arial"/>
        </w:rPr>
        <w:t>10 May</w:t>
      </w:r>
      <w:r>
        <w:rPr>
          <w:rFonts w:ascii="Arial" w:eastAsia="Arial" w:hAnsi="Arial" w:cs="Arial"/>
        </w:rPr>
        <w:t xml:space="preserve"> 2018</w:t>
      </w:r>
    </w:p>
    <w:sectPr w:rsidR="00445434" w:rsidRPr="00206022" w:rsidSect="00206022">
      <w:headerReference w:type="default" r:id="rId8"/>
      <w:footerReference w:type="default" r:id="rId9"/>
      <w:headerReference w:type="first" r:id="rId10"/>
      <w:footerReference w:type="first" r:id="rId11"/>
      <w:pgSz w:w="11900" w:h="16840"/>
      <w:pgMar w:top="1276" w:right="1134"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95" w:rsidRDefault="00877895">
      <w:r>
        <w:separator/>
      </w:r>
    </w:p>
  </w:endnote>
  <w:endnote w:type="continuationSeparator" w:id="0">
    <w:p w:rsidR="00877895" w:rsidRDefault="0087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34" w:rsidRDefault="00445434">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34" w:rsidRDefault="0044543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95" w:rsidRDefault="00877895">
      <w:r>
        <w:separator/>
      </w:r>
    </w:p>
  </w:footnote>
  <w:footnote w:type="continuationSeparator" w:id="0">
    <w:p w:rsidR="00877895" w:rsidRDefault="0087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34" w:rsidRDefault="00EB2A8C">
    <w:pPr>
      <w:pStyle w:val="Header"/>
      <w:jc w:val="right"/>
    </w:pPr>
    <w:r>
      <w:rPr>
        <w:rFonts w:ascii="Arial" w:hAnsi="Arial"/>
      </w:rPr>
      <w:fldChar w:fldCharType="begin"/>
    </w:r>
    <w:r>
      <w:rPr>
        <w:rFonts w:ascii="Arial" w:hAnsi="Arial"/>
      </w:rPr>
      <w:instrText xml:space="preserve"> PAGE </w:instrText>
    </w:r>
    <w:r>
      <w:rPr>
        <w:rFonts w:ascii="Arial" w:hAnsi="Arial"/>
      </w:rPr>
      <w:fldChar w:fldCharType="separate"/>
    </w:r>
    <w:r w:rsidR="00206022">
      <w:rPr>
        <w:rFonts w:ascii="Arial" w:hAnsi="Arial"/>
        <w:noProof/>
      </w:rPr>
      <w:t>4</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34" w:rsidRDefault="00445434">
    <w:pPr>
      <w:pStyle w:val="Body"/>
      <w:jc w:val="center"/>
      <w:rPr>
        <w:rFonts w:ascii="Arial" w:hAnsi="Arial"/>
        <w:b/>
        <w:bCs/>
        <w:sz w:val="32"/>
        <w:szCs w:val="32"/>
      </w:rPr>
    </w:pPr>
  </w:p>
  <w:p w:rsidR="00445434" w:rsidRDefault="00EB2A8C">
    <w:pPr>
      <w:pStyle w:val="Body"/>
      <w:jc w:val="center"/>
    </w:pPr>
    <w:r>
      <w:rPr>
        <w:rFonts w:ascii="Arial" w:hAnsi="Arial"/>
        <w:b/>
        <w:bCs/>
        <w:sz w:val="32"/>
        <w:szCs w:val="32"/>
      </w:rPr>
      <w:t>NORTHERN TERRITORY RACING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98B"/>
    <w:multiLevelType w:val="hybridMultilevel"/>
    <w:tmpl w:val="0E16B190"/>
    <w:numStyleLink w:val="ImportedStyle1"/>
  </w:abstractNum>
  <w:abstractNum w:abstractNumId="1" w15:restartNumberingAfterBreak="0">
    <w:nsid w:val="0FF71AA2"/>
    <w:multiLevelType w:val="hybridMultilevel"/>
    <w:tmpl w:val="3B4A1478"/>
    <w:lvl w:ilvl="0" w:tplc="921A53A4">
      <w:start w:val="1"/>
      <w:numFmt w:val="decimal"/>
      <w:lvlText w:val="%1."/>
      <w:lvlJc w:val="left"/>
      <w:pPr>
        <w:ind w:left="720" w:hanging="360"/>
      </w:pPr>
      <w:rPr>
        <w:rFonts w:ascii="Arial" w:hAnsi="Arial" w:cs="Aria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D40A4"/>
    <w:multiLevelType w:val="hybridMultilevel"/>
    <w:tmpl w:val="0E16B190"/>
    <w:styleLink w:val="ImportedStyle1"/>
    <w:lvl w:ilvl="0" w:tplc="696E2F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89F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021FC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ED8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0D4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96A0E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0B8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634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3A2A0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344BA4"/>
    <w:multiLevelType w:val="hybridMultilevel"/>
    <w:tmpl w:val="479CC376"/>
    <w:numStyleLink w:val="ImportedStyle6"/>
  </w:abstractNum>
  <w:abstractNum w:abstractNumId="4" w15:restartNumberingAfterBreak="0">
    <w:nsid w:val="30BE1C12"/>
    <w:multiLevelType w:val="hybridMultilevel"/>
    <w:tmpl w:val="29063334"/>
    <w:numStyleLink w:val="ImportedStyle2"/>
  </w:abstractNum>
  <w:abstractNum w:abstractNumId="5" w15:restartNumberingAfterBreak="0">
    <w:nsid w:val="33C55823"/>
    <w:multiLevelType w:val="hybridMultilevel"/>
    <w:tmpl w:val="0888B944"/>
    <w:styleLink w:val="ImportedStyle7"/>
    <w:lvl w:ilvl="0" w:tplc="FD4E60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56A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C5F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00E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AA9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487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3EDF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01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C3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3E5EB5"/>
    <w:multiLevelType w:val="hybridMultilevel"/>
    <w:tmpl w:val="0330CAE4"/>
    <w:styleLink w:val="ImportedStyle8"/>
    <w:lvl w:ilvl="0" w:tplc="24041F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B2CC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8A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22FE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D4DA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29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54AB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0A84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C7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A50FCE"/>
    <w:multiLevelType w:val="hybridMultilevel"/>
    <w:tmpl w:val="7344751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005C54"/>
    <w:multiLevelType w:val="hybridMultilevel"/>
    <w:tmpl w:val="9A7C32AC"/>
    <w:styleLink w:val="ImportedStyle5"/>
    <w:lvl w:ilvl="0" w:tplc="48D202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A8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01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602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C4C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AE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67D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800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D96DEE"/>
    <w:multiLevelType w:val="hybridMultilevel"/>
    <w:tmpl w:val="06543FD0"/>
    <w:styleLink w:val="ImportedStyle4"/>
    <w:lvl w:ilvl="0" w:tplc="94A29A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AE72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2B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05A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AB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C6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AB0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B1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A0CE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9B0E52"/>
    <w:multiLevelType w:val="hybridMultilevel"/>
    <w:tmpl w:val="9A7C32AC"/>
    <w:numStyleLink w:val="ImportedStyle5"/>
  </w:abstractNum>
  <w:abstractNum w:abstractNumId="11" w15:restartNumberingAfterBreak="0">
    <w:nsid w:val="556D01D8"/>
    <w:multiLevelType w:val="hybridMultilevel"/>
    <w:tmpl w:val="0888B944"/>
    <w:numStyleLink w:val="ImportedStyle7"/>
  </w:abstractNum>
  <w:abstractNum w:abstractNumId="12" w15:restartNumberingAfterBreak="0">
    <w:nsid w:val="5793743E"/>
    <w:multiLevelType w:val="hybridMultilevel"/>
    <w:tmpl w:val="64FA5DE0"/>
    <w:styleLink w:val="ImportedStyle9"/>
    <w:lvl w:ilvl="0" w:tplc="F5E036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BA34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DC3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3061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1ABA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E00DE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D0B1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0EB8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4BCF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9D738F"/>
    <w:multiLevelType w:val="hybridMultilevel"/>
    <w:tmpl w:val="29063334"/>
    <w:styleLink w:val="ImportedStyle2"/>
    <w:lvl w:ilvl="0" w:tplc="AEFA4C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13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4A3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9F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FAEB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6C4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A22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0AB3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5601D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5F56FF"/>
    <w:multiLevelType w:val="hybridMultilevel"/>
    <w:tmpl w:val="64FA5DE0"/>
    <w:numStyleLink w:val="ImportedStyle9"/>
  </w:abstractNum>
  <w:abstractNum w:abstractNumId="15" w15:restartNumberingAfterBreak="0">
    <w:nsid w:val="5D694768"/>
    <w:multiLevelType w:val="hybridMultilevel"/>
    <w:tmpl w:val="479CC376"/>
    <w:styleLink w:val="ImportedStyle6"/>
    <w:lvl w:ilvl="0" w:tplc="035429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8C56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61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EEB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21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2E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216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6B7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07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4996542"/>
    <w:multiLevelType w:val="hybridMultilevel"/>
    <w:tmpl w:val="06543FD0"/>
    <w:numStyleLink w:val="ImportedStyle4"/>
  </w:abstractNum>
  <w:abstractNum w:abstractNumId="17" w15:restartNumberingAfterBreak="0">
    <w:nsid w:val="75C13B1C"/>
    <w:multiLevelType w:val="hybridMultilevel"/>
    <w:tmpl w:val="0330CAE4"/>
    <w:numStyleLink w:val="ImportedStyle8"/>
  </w:abstractNum>
  <w:num w:numId="1">
    <w:abstractNumId w:val="2"/>
  </w:num>
  <w:num w:numId="2">
    <w:abstractNumId w:val="0"/>
  </w:num>
  <w:num w:numId="3">
    <w:abstractNumId w:val="13"/>
  </w:num>
  <w:num w:numId="4">
    <w:abstractNumId w:val="4"/>
  </w:num>
  <w:num w:numId="5">
    <w:abstractNumId w:val="0"/>
    <w:lvlOverride w:ilvl="0">
      <w:startOverride w:val="1"/>
    </w:lvlOverride>
  </w:num>
  <w:num w:numId="6">
    <w:abstractNumId w:val="9"/>
  </w:num>
  <w:num w:numId="7">
    <w:abstractNumId w:val="16"/>
  </w:num>
  <w:num w:numId="8">
    <w:abstractNumId w:val="8"/>
  </w:num>
  <w:num w:numId="9">
    <w:abstractNumId w:val="10"/>
  </w:num>
  <w:num w:numId="10">
    <w:abstractNumId w:val="15"/>
  </w:num>
  <w:num w:numId="11">
    <w:abstractNumId w:val="3"/>
  </w:num>
  <w:num w:numId="12">
    <w:abstractNumId w:val="5"/>
  </w:num>
  <w:num w:numId="13">
    <w:abstractNumId w:val="11"/>
  </w:num>
  <w:num w:numId="14">
    <w:abstractNumId w:val="6"/>
  </w:num>
  <w:num w:numId="15">
    <w:abstractNumId w:val="17"/>
  </w:num>
  <w:num w:numId="16">
    <w:abstractNumId w:val="12"/>
  </w:num>
  <w:num w:numId="17">
    <w:abstractNumId w:val="1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34"/>
    <w:rsid w:val="00206022"/>
    <w:rsid w:val="00445434"/>
    <w:rsid w:val="005E6DDF"/>
    <w:rsid w:val="006C124F"/>
    <w:rsid w:val="006D3A4A"/>
    <w:rsid w:val="00720D2C"/>
    <w:rsid w:val="00803F8B"/>
    <w:rsid w:val="00877895"/>
    <w:rsid w:val="009069C4"/>
    <w:rsid w:val="009E0858"/>
    <w:rsid w:val="00AB0F56"/>
    <w:rsid w:val="00AB2052"/>
    <w:rsid w:val="00B418CA"/>
    <w:rsid w:val="00B817C6"/>
    <w:rsid w:val="00D66EA8"/>
    <w:rsid w:val="00EB2A8C"/>
    <w:rsid w:val="00F22183"/>
    <w:rsid w:val="00F50B5B"/>
    <w:rsid w:val="00F80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834CD-558E-4E35-A63F-3D42CEE7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spacing w:before="360" w:after="120"/>
      <w:jc w:val="both"/>
      <w:outlineLvl w:val="1"/>
    </w:pPr>
    <w:rPr>
      <w:rFonts w:ascii="Arial" w:hAnsi="Arial"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ttomLine">
    <w:name w:val="Bottom Line"/>
    <w:pPr>
      <w:pBdr>
        <w:top w:val="single" w:sz="12" w:space="0" w:color="000000"/>
      </w:pBdr>
      <w:jc w:val="both"/>
    </w:pPr>
    <w:rPr>
      <w:rFonts w:ascii="Arial" w:eastAsia="Arial" w:hAnsi="Arial" w:cs="Arial"/>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paragraph" w:styleId="BalloonText">
    <w:name w:val="Balloon Text"/>
    <w:basedOn w:val="Normal"/>
    <w:link w:val="BalloonTextChar"/>
    <w:uiPriority w:val="99"/>
    <w:semiHidden/>
    <w:unhideWhenUsed/>
    <w:rsid w:val="00EB2A8C"/>
    <w:rPr>
      <w:rFonts w:ascii="Tahoma" w:hAnsi="Tahoma" w:cs="Tahoma"/>
      <w:sz w:val="16"/>
      <w:szCs w:val="16"/>
    </w:rPr>
  </w:style>
  <w:style w:type="character" w:customStyle="1" w:styleId="BalloonTextChar">
    <w:name w:val="Balloon Text Char"/>
    <w:basedOn w:val="DefaultParagraphFont"/>
    <w:link w:val="BalloonText"/>
    <w:uiPriority w:val="99"/>
    <w:semiHidden/>
    <w:rsid w:val="00EB2A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c:creator>
  <cp:lastModifiedBy>Louise Ranger</cp:lastModifiedBy>
  <cp:revision>4</cp:revision>
  <cp:lastPrinted>2018-05-09T05:18:00Z</cp:lastPrinted>
  <dcterms:created xsi:type="dcterms:W3CDTF">2018-05-09T04:30:00Z</dcterms:created>
  <dcterms:modified xsi:type="dcterms:W3CDTF">2018-05-09T05:18:00Z</dcterms:modified>
</cp:coreProperties>
</file>