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44C1D329"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3B030D" w:rsidRPr="003B030D">
        <w:rPr>
          <w:rFonts w:ascii="Arial" w:hAnsi="Arial"/>
          <w:szCs w:val="20"/>
        </w:rPr>
        <w:t xml:space="preserve">Mr </w:t>
      </w:r>
      <w:r w:rsidR="00A4426C">
        <w:rPr>
          <w:rFonts w:ascii="Arial" w:hAnsi="Arial"/>
          <w:szCs w:val="20"/>
        </w:rPr>
        <w:t>M</w:t>
      </w:r>
      <w:r w:rsidR="00F0603C">
        <w:rPr>
          <w:rFonts w:ascii="Arial" w:hAnsi="Arial"/>
          <w:b/>
          <w:szCs w:val="20"/>
        </w:rPr>
        <w:t xml:space="preserve"> </w:t>
      </w:r>
    </w:p>
    <w:p w14:paraId="71DEE592" w14:textId="3055B19A"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F0603C" w:rsidRPr="000336C7">
        <w:rPr>
          <w:rFonts w:ascii="Arial" w:hAnsi="Arial" w:cs="Arial"/>
          <w:lang w:val="en-GB"/>
        </w:rPr>
        <w:t>William Hill</w:t>
      </w:r>
      <w:r w:rsidR="003B030D">
        <w:rPr>
          <w:rFonts w:ascii="Arial" w:hAnsi="Arial" w:cs="Arial"/>
          <w:lang w:val="en-GB"/>
        </w:rPr>
        <w:t xml:space="preserve"> Australia Wagering Pty Ltd</w:t>
      </w:r>
    </w:p>
    <w:p w14:paraId="0F1A14B8" w14:textId="063BFAC5" w:rsidR="003B38E2" w:rsidRPr="000336C7"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0336C7">
        <w:rPr>
          <w:rFonts w:ascii="Arial" w:hAnsi="Arial" w:cs="Arial"/>
        </w:rPr>
        <w:t xml:space="preserve"> </w:t>
      </w:r>
      <w:r w:rsidR="00091DB4">
        <w:rPr>
          <w:rFonts w:ascii="Arial" w:hAnsi="Arial" w:cs="Arial"/>
        </w:rPr>
        <w:t>85(4)</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091DB4" w:rsidRPr="000336C7">
        <w:rPr>
          <w:rFonts w:ascii="Arial" w:hAnsi="Arial" w:cs="Arial"/>
        </w:rPr>
        <w:t>Referral of</w:t>
      </w:r>
      <w:r w:rsidR="00D32948" w:rsidRPr="000336C7">
        <w:rPr>
          <w:rFonts w:ascii="Arial" w:hAnsi="Arial" w:cs="Arial"/>
        </w:rPr>
        <w:t xml:space="preserve"> dispute to Racing Commission for determination</w:t>
      </w:r>
    </w:p>
    <w:p w14:paraId="769981ED" w14:textId="5C0B6CE8" w:rsidR="003E4F8E" w:rsidRPr="000336C7" w:rsidRDefault="003B38E2" w:rsidP="008E5F56">
      <w:pPr>
        <w:ind w:left="2835" w:hanging="2835"/>
        <w:rPr>
          <w:rFonts w:ascii="Arial" w:hAnsi="Arial" w:cs="Arial"/>
          <w:lang w:val="en-GB"/>
        </w:rPr>
      </w:pPr>
      <w:r w:rsidRPr="000336C7">
        <w:rPr>
          <w:rFonts w:ascii="Arial" w:hAnsi="Arial"/>
          <w:b/>
          <w:szCs w:val="20"/>
        </w:rPr>
        <w:t>Heard Before</w:t>
      </w:r>
      <w:r w:rsidRPr="000336C7">
        <w:rPr>
          <w:rFonts w:ascii="Arial" w:hAnsi="Arial" w:cs="Arial"/>
          <w:b/>
          <w:lang w:val="en-GB"/>
        </w:rPr>
        <w:t>:</w:t>
      </w:r>
      <w:r w:rsidRPr="000336C7">
        <w:rPr>
          <w:rFonts w:ascii="Arial" w:hAnsi="Arial" w:cs="Arial"/>
          <w:b/>
          <w:lang w:val="en-GB"/>
        </w:rPr>
        <w:tab/>
      </w:r>
      <w:r w:rsidR="004179B0" w:rsidRPr="000336C7">
        <w:rPr>
          <w:rFonts w:ascii="Arial" w:hAnsi="Arial" w:cs="Arial"/>
          <w:lang w:val="en-GB"/>
        </w:rPr>
        <w:t>John McBride</w:t>
      </w:r>
      <w:r w:rsidR="000716C2" w:rsidRPr="000336C7">
        <w:rPr>
          <w:rFonts w:ascii="Arial" w:hAnsi="Arial" w:cs="Arial"/>
          <w:lang w:val="en-GB"/>
        </w:rPr>
        <w:t xml:space="preserve"> (Presiding Member)</w:t>
      </w:r>
    </w:p>
    <w:p w14:paraId="7A1A4BF1" w14:textId="61AC741E" w:rsidR="008E5F56" w:rsidRPr="000336C7" w:rsidRDefault="00DB64C1" w:rsidP="008E5F56">
      <w:pPr>
        <w:ind w:left="2835" w:hanging="2835"/>
        <w:rPr>
          <w:rFonts w:ascii="Arial" w:hAnsi="Arial" w:cs="Arial"/>
        </w:rPr>
      </w:pPr>
      <w:r w:rsidRPr="000336C7">
        <w:rPr>
          <w:rFonts w:ascii="Arial" w:hAnsi="Arial" w:cs="Arial"/>
          <w:b/>
        </w:rPr>
        <w:t>(</w:t>
      </w:r>
      <w:proofErr w:type="gramStart"/>
      <w:r w:rsidRPr="000336C7">
        <w:rPr>
          <w:rFonts w:ascii="Arial" w:hAnsi="Arial" w:cs="Arial"/>
          <w:b/>
        </w:rPr>
        <w:t>on</w:t>
      </w:r>
      <w:proofErr w:type="gramEnd"/>
      <w:r w:rsidRPr="000336C7">
        <w:rPr>
          <w:rFonts w:ascii="Arial" w:hAnsi="Arial" w:cs="Arial"/>
          <w:b/>
        </w:rPr>
        <w:t xml:space="preserve"> papers)</w:t>
      </w:r>
      <w:r w:rsidR="003E4F8E" w:rsidRPr="000336C7">
        <w:rPr>
          <w:rFonts w:ascii="Arial" w:hAnsi="Arial" w:cs="Arial"/>
          <w:b/>
        </w:rPr>
        <w:tab/>
      </w:r>
      <w:r w:rsidR="004179B0" w:rsidRPr="000336C7">
        <w:rPr>
          <w:rFonts w:ascii="Arial" w:hAnsi="Arial" w:cs="Arial"/>
        </w:rPr>
        <w:t>John Boneham</w:t>
      </w:r>
    </w:p>
    <w:p w14:paraId="5DE05DA7" w14:textId="1A362614" w:rsidR="003E4F8E" w:rsidRPr="000336C7" w:rsidRDefault="003E4F8E" w:rsidP="008E5F56">
      <w:pPr>
        <w:ind w:left="2835" w:hanging="2835"/>
        <w:rPr>
          <w:rFonts w:ascii="Arial" w:hAnsi="Arial" w:cs="Arial"/>
        </w:rPr>
      </w:pPr>
      <w:r w:rsidRPr="000336C7">
        <w:rPr>
          <w:rFonts w:ascii="Arial" w:hAnsi="Arial" w:cs="Arial"/>
        </w:rPr>
        <w:tab/>
      </w:r>
      <w:r w:rsidR="004179B0" w:rsidRPr="000336C7">
        <w:rPr>
          <w:rFonts w:ascii="Arial" w:hAnsi="Arial" w:cs="Arial"/>
        </w:rPr>
        <w:t>David Loy</w:t>
      </w:r>
    </w:p>
    <w:p w14:paraId="0375A850" w14:textId="77777777" w:rsidR="005F725E" w:rsidRPr="000336C7" w:rsidRDefault="00DB64C1" w:rsidP="008E5F56">
      <w:pPr>
        <w:ind w:left="2835" w:hanging="2835"/>
        <w:rPr>
          <w:rFonts w:ascii="Arial" w:hAnsi="Arial" w:cs="Arial"/>
        </w:rPr>
      </w:pPr>
      <w:r w:rsidRPr="000336C7">
        <w:rPr>
          <w:rFonts w:ascii="Arial" w:hAnsi="Arial" w:cs="Arial"/>
          <w:b/>
        </w:rPr>
        <w:tab/>
      </w:r>
    </w:p>
    <w:p w14:paraId="53C6B3F7" w14:textId="1D01BA83" w:rsidR="003B38E2" w:rsidRPr="005F725E" w:rsidRDefault="003B38E2" w:rsidP="003B38E2">
      <w:pPr>
        <w:spacing w:after="200"/>
        <w:ind w:left="2835" w:hanging="2835"/>
        <w:rPr>
          <w:rFonts w:ascii="Arial" w:hAnsi="Arial" w:cs="Arial"/>
        </w:rPr>
      </w:pPr>
      <w:r w:rsidRPr="000336C7">
        <w:rPr>
          <w:rFonts w:ascii="Arial" w:hAnsi="Arial" w:cs="Arial"/>
          <w:b/>
        </w:rPr>
        <w:t xml:space="preserve">Date of </w:t>
      </w:r>
      <w:r w:rsidRPr="000336C7">
        <w:rPr>
          <w:rFonts w:ascii="Arial" w:hAnsi="Arial"/>
          <w:b/>
          <w:szCs w:val="20"/>
        </w:rPr>
        <w:t>Decision</w:t>
      </w:r>
      <w:r w:rsidRPr="000336C7">
        <w:rPr>
          <w:rFonts w:ascii="Arial" w:hAnsi="Arial" w:cs="Arial"/>
          <w:b/>
        </w:rPr>
        <w:t>:</w:t>
      </w:r>
      <w:r w:rsidRPr="000336C7">
        <w:rPr>
          <w:rFonts w:ascii="Arial" w:hAnsi="Arial" w:cs="Arial"/>
          <w:b/>
        </w:rPr>
        <w:tab/>
      </w:r>
      <w:r w:rsidR="00B7096C">
        <w:rPr>
          <w:rFonts w:ascii="Arial" w:hAnsi="Arial" w:cs="Arial"/>
        </w:rPr>
        <w:t>3</w:t>
      </w:r>
      <w:r w:rsidR="004179B0" w:rsidRPr="000336C7">
        <w:rPr>
          <w:rFonts w:ascii="Arial" w:hAnsi="Arial" w:cs="Arial"/>
        </w:rPr>
        <w:t xml:space="preserve"> May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22EC94CA" w14:textId="4712DB8A" w:rsidR="00E25447" w:rsidRPr="000336C7" w:rsidRDefault="00E05510"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On </w:t>
      </w:r>
      <w:r w:rsidR="006A0EA7" w:rsidRPr="000336C7">
        <w:rPr>
          <w:rFonts w:ascii="Arial" w:hAnsi="Arial" w:cs="Arial"/>
        </w:rPr>
        <w:t>20 April 2017</w:t>
      </w:r>
      <w:r w:rsidRPr="000336C7">
        <w:rPr>
          <w:rFonts w:ascii="Arial" w:hAnsi="Arial" w:cs="Arial"/>
        </w:rPr>
        <w:t xml:space="preserve">, </w:t>
      </w:r>
      <w:r w:rsidR="000336C7" w:rsidRPr="000336C7">
        <w:rPr>
          <w:rFonts w:ascii="Arial" w:hAnsi="Arial" w:cs="Arial"/>
        </w:rPr>
        <w:t xml:space="preserve">pursuant to section 85 (4) of the Racing and Betting Act (the Act) the complainant Mr </w:t>
      </w:r>
      <w:r w:rsidR="00A4426C">
        <w:rPr>
          <w:rFonts w:ascii="Arial" w:hAnsi="Arial" w:cs="Arial"/>
        </w:rPr>
        <w:t>M</w:t>
      </w:r>
      <w:r w:rsidR="00B92649" w:rsidRPr="000336C7">
        <w:rPr>
          <w:rFonts w:ascii="Arial" w:hAnsi="Arial" w:cs="Arial"/>
        </w:rPr>
        <w:t xml:space="preserve"> </w:t>
      </w:r>
      <w:r w:rsidR="00AA4995" w:rsidRPr="000336C7">
        <w:rPr>
          <w:rFonts w:ascii="Arial" w:hAnsi="Arial" w:cs="Arial"/>
        </w:rPr>
        <w:t xml:space="preserve">lodged a gambling dispute against </w:t>
      </w:r>
      <w:r w:rsidR="000336C7" w:rsidRPr="000336C7">
        <w:rPr>
          <w:rFonts w:ascii="Arial" w:hAnsi="Arial" w:cs="Arial"/>
        </w:rPr>
        <w:t>William</w:t>
      </w:r>
      <w:r w:rsidR="00AA4995" w:rsidRPr="000336C7">
        <w:rPr>
          <w:rFonts w:ascii="Arial" w:hAnsi="Arial" w:cs="Arial"/>
        </w:rPr>
        <w:t xml:space="preserve"> Hill</w:t>
      </w:r>
      <w:r w:rsidR="000336C7" w:rsidRPr="000336C7">
        <w:rPr>
          <w:rFonts w:ascii="Arial" w:hAnsi="Arial" w:cs="Arial"/>
        </w:rPr>
        <w:t xml:space="preserve"> (the bookmaker)</w:t>
      </w:r>
      <w:r w:rsidR="003014E8" w:rsidRPr="000336C7">
        <w:rPr>
          <w:rFonts w:ascii="Arial" w:hAnsi="Arial" w:cs="Arial"/>
        </w:rPr>
        <w:t>.</w:t>
      </w:r>
      <w:r w:rsidR="00E25447" w:rsidRPr="000336C7">
        <w:rPr>
          <w:rFonts w:ascii="Arial" w:hAnsi="Arial" w:cs="Arial"/>
        </w:rPr>
        <w:t xml:space="preserve"> </w:t>
      </w:r>
    </w:p>
    <w:p w14:paraId="37659360" w14:textId="2BCA239C" w:rsidR="00ED06D0" w:rsidRPr="000336C7" w:rsidRDefault="006B2630"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The dispute alleges that following closure by Mr </w:t>
      </w:r>
      <w:r w:rsidR="00A4426C">
        <w:rPr>
          <w:rFonts w:ascii="Arial" w:hAnsi="Arial" w:cs="Arial"/>
        </w:rPr>
        <w:t>M</w:t>
      </w:r>
      <w:r w:rsidRPr="000336C7">
        <w:rPr>
          <w:rFonts w:ascii="Arial" w:hAnsi="Arial" w:cs="Arial"/>
        </w:rPr>
        <w:t xml:space="preserve"> of his account for life with William Hill because of </w:t>
      </w:r>
      <w:r w:rsidR="00E25447" w:rsidRPr="000336C7">
        <w:rPr>
          <w:rFonts w:ascii="Arial" w:hAnsi="Arial" w:cs="Arial"/>
        </w:rPr>
        <w:t>his</w:t>
      </w:r>
      <w:r w:rsidRPr="000336C7">
        <w:rPr>
          <w:rFonts w:ascii="Arial" w:hAnsi="Arial" w:cs="Arial"/>
        </w:rPr>
        <w:t xml:space="preserve"> known gambling problem </w:t>
      </w:r>
      <w:r w:rsidR="00E25447" w:rsidRPr="000336C7">
        <w:rPr>
          <w:rFonts w:ascii="Arial" w:hAnsi="Arial" w:cs="Arial"/>
        </w:rPr>
        <w:t xml:space="preserve">Mr </w:t>
      </w:r>
      <w:r w:rsidR="00A4426C">
        <w:rPr>
          <w:rFonts w:ascii="Arial" w:hAnsi="Arial" w:cs="Arial"/>
        </w:rPr>
        <w:t>M</w:t>
      </w:r>
      <w:r w:rsidRPr="000336C7">
        <w:rPr>
          <w:rFonts w:ascii="Arial" w:hAnsi="Arial" w:cs="Arial"/>
        </w:rPr>
        <w:t xml:space="preserve"> was </w:t>
      </w:r>
      <w:r w:rsidR="00ED06D0" w:rsidRPr="000336C7">
        <w:rPr>
          <w:rFonts w:ascii="Arial" w:hAnsi="Arial" w:cs="Arial"/>
        </w:rPr>
        <w:t>later</w:t>
      </w:r>
      <w:r w:rsidR="00EA5878" w:rsidRPr="000336C7">
        <w:rPr>
          <w:rFonts w:ascii="Arial" w:hAnsi="Arial" w:cs="Arial"/>
        </w:rPr>
        <w:t xml:space="preserve"> </w:t>
      </w:r>
      <w:r w:rsidRPr="000336C7">
        <w:rPr>
          <w:rFonts w:ascii="Arial" w:hAnsi="Arial" w:cs="Arial"/>
        </w:rPr>
        <w:t>able to reopen his account with apparent ease following a request to do so.</w:t>
      </w:r>
    </w:p>
    <w:p w14:paraId="24C69BC6" w14:textId="4284559A" w:rsidR="00F655AB" w:rsidRPr="000336C7" w:rsidRDefault="00F416AA"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The complaint centres on the ability of a client </w:t>
      </w:r>
      <w:r w:rsidR="00C90BCF" w:rsidRPr="000336C7">
        <w:rPr>
          <w:rFonts w:ascii="Arial" w:hAnsi="Arial" w:cs="Arial"/>
        </w:rPr>
        <w:t xml:space="preserve">with a stated gambling issue to have his </w:t>
      </w:r>
      <w:r w:rsidR="005169CA" w:rsidRPr="000336C7">
        <w:rPr>
          <w:rFonts w:ascii="Arial" w:hAnsi="Arial" w:cs="Arial"/>
        </w:rPr>
        <w:t xml:space="preserve">account </w:t>
      </w:r>
      <w:r w:rsidR="00F655AB" w:rsidRPr="000336C7">
        <w:rPr>
          <w:rFonts w:ascii="Arial" w:hAnsi="Arial" w:cs="Arial"/>
        </w:rPr>
        <w:t>closed for life</w:t>
      </w:r>
      <w:r w:rsidR="00D127BB" w:rsidRPr="000336C7">
        <w:rPr>
          <w:rFonts w:ascii="Arial" w:hAnsi="Arial" w:cs="Arial"/>
        </w:rPr>
        <w:t xml:space="preserve"> </w:t>
      </w:r>
      <w:r w:rsidR="001A06B6" w:rsidRPr="000336C7">
        <w:rPr>
          <w:rFonts w:ascii="Arial" w:hAnsi="Arial" w:cs="Arial"/>
        </w:rPr>
        <w:t>in the first instance</w:t>
      </w:r>
      <w:r w:rsidR="00F655AB" w:rsidRPr="000336C7">
        <w:rPr>
          <w:rFonts w:ascii="Arial" w:hAnsi="Arial" w:cs="Arial"/>
        </w:rPr>
        <w:t xml:space="preserve"> and reopened with apparent ease at his request by the bookmaker</w:t>
      </w:r>
      <w:r w:rsidR="001A06B6" w:rsidRPr="000336C7">
        <w:rPr>
          <w:rFonts w:ascii="Arial" w:hAnsi="Arial" w:cs="Arial"/>
        </w:rPr>
        <w:t xml:space="preserve"> </w:t>
      </w:r>
      <w:r w:rsidR="00E7005F" w:rsidRPr="000336C7">
        <w:rPr>
          <w:rFonts w:ascii="Arial" w:hAnsi="Arial" w:cs="Arial"/>
        </w:rPr>
        <w:t>subsequently</w:t>
      </w:r>
      <w:r w:rsidR="00F655AB" w:rsidRPr="000336C7">
        <w:rPr>
          <w:rFonts w:ascii="Arial" w:hAnsi="Arial" w:cs="Arial"/>
        </w:rPr>
        <w:t>.</w:t>
      </w:r>
    </w:p>
    <w:p w14:paraId="3C863C4D" w14:textId="6E37312D" w:rsidR="00EC45E9" w:rsidRPr="000336C7" w:rsidRDefault="00EC45E9" w:rsidP="000336C7">
      <w:pPr>
        <w:pStyle w:val="Heading2"/>
        <w:spacing w:before="480" w:line="360" w:lineRule="auto"/>
        <w:rPr>
          <w:rFonts w:cs="Arial"/>
        </w:rPr>
      </w:pPr>
      <w:r w:rsidRPr="000336C7">
        <w:rPr>
          <w:rFonts w:cs="Arial"/>
        </w:rPr>
        <w:t xml:space="preserve">Facts of the </w:t>
      </w:r>
      <w:r w:rsidR="000336C7">
        <w:rPr>
          <w:rFonts w:cs="Arial"/>
        </w:rPr>
        <w:t>M</w:t>
      </w:r>
      <w:r w:rsidRPr="000336C7">
        <w:rPr>
          <w:rFonts w:cs="Arial"/>
        </w:rPr>
        <w:t>atter</w:t>
      </w:r>
    </w:p>
    <w:p w14:paraId="3F8B83FF" w14:textId="4DA04099" w:rsidR="00AF58D6" w:rsidRPr="000336C7" w:rsidRDefault="00AF58D6" w:rsidP="000336C7">
      <w:pPr>
        <w:pStyle w:val="ListParagraph"/>
        <w:numPr>
          <w:ilvl w:val="0"/>
          <w:numId w:val="27"/>
        </w:numPr>
        <w:spacing w:after="200"/>
        <w:ind w:left="567" w:hanging="425"/>
        <w:jc w:val="both"/>
        <w:rPr>
          <w:rFonts w:ascii="Arial" w:hAnsi="Arial" w:cs="Arial"/>
        </w:rPr>
      </w:pPr>
      <w:r w:rsidRPr="000336C7">
        <w:rPr>
          <w:rFonts w:ascii="Arial" w:hAnsi="Arial" w:cs="Arial"/>
        </w:rPr>
        <w:t>On the 20</w:t>
      </w:r>
      <w:r w:rsidRPr="000336C7">
        <w:rPr>
          <w:rFonts w:ascii="Arial" w:hAnsi="Arial" w:cs="Arial"/>
          <w:vertAlign w:val="superscript"/>
        </w:rPr>
        <w:t>th</w:t>
      </w:r>
      <w:r w:rsidRPr="000336C7">
        <w:rPr>
          <w:rFonts w:ascii="Arial" w:hAnsi="Arial" w:cs="Arial"/>
        </w:rPr>
        <w:t xml:space="preserve"> April 2017 Mr </w:t>
      </w:r>
      <w:r w:rsidR="00A4426C">
        <w:rPr>
          <w:rFonts w:ascii="Arial" w:hAnsi="Arial" w:cs="Arial"/>
        </w:rPr>
        <w:t>M</w:t>
      </w:r>
      <w:r w:rsidRPr="000336C7">
        <w:rPr>
          <w:rFonts w:ascii="Arial" w:hAnsi="Arial" w:cs="Arial"/>
        </w:rPr>
        <w:t xml:space="preserve"> lodged a gambling dispute against William Hill with th</w:t>
      </w:r>
      <w:r w:rsidR="00CD7CD4" w:rsidRPr="000336C7">
        <w:rPr>
          <w:rFonts w:ascii="Arial" w:hAnsi="Arial" w:cs="Arial"/>
        </w:rPr>
        <w:t xml:space="preserve">e </w:t>
      </w:r>
      <w:r w:rsidRPr="000336C7">
        <w:rPr>
          <w:rFonts w:ascii="Arial" w:hAnsi="Arial" w:cs="Arial"/>
        </w:rPr>
        <w:t xml:space="preserve">Commission. The dispute alleges </w:t>
      </w:r>
      <w:r w:rsidR="00066D62" w:rsidRPr="000336C7">
        <w:rPr>
          <w:rFonts w:ascii="Arial" w:hAnsi="Arial" w:cs="Arial"/>
        </w:rPr>
        <w:t xml:space="preserve">Mr </w:t>
      </w:r>
      <w:r w:rsidR="00A4426C">
        <w:rPr>
          <w:rFonts w:ascii="Arial" w:hAnsi="Arial" w:cs="Arial"/>
        </w:rPr>
        <w:t>M</w:t>
      </w:r>
      <w:r w:rsidRPr="000336C7">
        <w:rPr>
          <w:rFonts w:ascii="Arial" w:hAnsi="Arial" w:cs="Arial"/>
        </w:rPr>
        <w:t xml:space="preserve"> had his account closed for life with William Hill and an agreement for it never to be opened again. He states he has a gambling issue which William Hill were aware of.</w:t>
      </w:r>
    </w:p>
    <w:p w14:paraId="6D9232EA" w14:textId="46C1828A" w:rsidR="005B731A" w:rsidRPr="000336C7" w:rsidRDefault="00880C39"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In fact </w:t>
      </w:r>
      <w:r w:rsidR="00077990" w:rsidRPr="000336C7">
        <w:rPr>
          <w:rFonts w:ascii="Arial" w:hAnsi="Arial" w:cs="Arial"/>
        </w:rPr>
        <w:t xml:space="preserve">Mr </w:t>
      </w:r>
      <w:r w:rsidR="00A4426C">
        <w:rPr>
          <w:rFonts w:ascii="Arial" w:hAnsi="Arial" w:cs="Arial"/>
        </w:rPr>
        <w:t>M</w:t>
      </w:r>
      <w:r w:rsidR="00077990" w:rsidRPr="000336C7">
        <w:rPr>
          <w:rFonts w:ascii="Arial" w:hAnsi="Arial" w:cs="Arial"/>
        </w:rPr>
        <w:t xml:space="preserve"> has held four (4) different </w:t>
      </w:r>
      <w:r w:rsidR="00C524A8" w:rsidRPr="000336C7">
        <w:rPr>
          <w:rFonts w:ascii="Arial" w:hAnsi="Arial" w:cs="Arial"/>
        </w:rPr>
        <w:t xml:space="preserve">accounts </w:t>
      </w:r>
      <w:r w:rsidR="0043024E" w:rsidRPr="000336C7">
        <w:rPr>
          <w:rFonts w:ascii="Arial" w:hAnsi="Arial" w:cs="Arial"/>
        </w:rPr>
        <w:t xml:space="preserve">with the bookmaker over the previous few years details of </w:t>
      </w:r>
      <w:r w:rsidR="00936509" w:rsidRPr="000336C7">
        <w:rPr>
          <w:rFonts w:ascii="Arial" w:hAnsi="Arial" w:cs="Arial"/>
        </w:rPr>
        <w:t>which were supplied</w:t>
      </w:r>
      <w:r w:rsidR="00DB4806" w:rsidRPr="000336C7">
        <w:rPr>
          <w:rFonts w:ascii="Arial" w:hAnsi="Arial" w:cs="Arial"/>
        </w:rPr>
        <w:t xml:space="preserve"> including each account Pin </w:t>
      </w:r>
      <w:proofErr w:type="gramStart"/>
      <w:r w:rsidR="00DB4806" w:rsidRPr="000336C7">
        <w:rPr>
          <w:rFonts w:ascii="Arial" w:hAnsi="Arial" w:cs="Arial"/>
        </w:rPr>
        <w:t>number</w:t>
      </w:r>
      <w:proofErr w:type="gramEnd"/>
      <w:r w:rsidR="00DB4806" w:rsidRPr="000336C7">
        <w:rPr>
          <w:rFonts w:ascii="Arial" w:hAnsi="Arial" w:cs="Arial"/>
        </w:rPr>
        <w:t xml:space="preserve">. </w:t>
      </w:r>
    </w:p>
    <w:p w14:paraId="4A9E66B0" w14:textId="578BF513" w:rsidR="009A3D89" w:rsidRPr="000336C7" w:rsidRDefault="005B731A"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Between </w:t>
      </w:r>
      <w:r w:rsidR="00EC0D28" w:rsidRPr="000336C7">
        <w:rPr>
          <w:rFonts w:ascii="Arial" w:hAnsi="Arial" w:cs="Arial"/>
        </w:rPr>
        <w:t xml:space="preserve">October 2016 and March 2017 </w:t>
      </w:r>
      <w:r w:rsidR="00B02726" w:rsidRPr="000336C7">
        <w:rPr>
          <w:rFonts w:ascii="Arial" w:hAnsi="Arial" w:cs="Arial"/>
        </w:rPr>
        <w:t xml:space="preserve">there have been </w:t>
      </w:r>
      <w:r w:rsidR="006B19C6" w:rsidRPr="000336C7">
        <w:rPr>
          <w:rFonts w:ascii="Arial" w:hAnsi="Arial" w:cs="Arial"/>
        </w:rPr>
        <w:t xml:space="preserve">closures and re-opening of </w:t>
      </w:r>
      <w:r w:rsidR="00582FA7" w:rsidRPr="000336C7">
        <w:rPr>
          <w:rFonts w:ascii="Arial" w:hAnsi="Arial" w:cs="Arial"/>
        </w:rPr>
        <w:t>his</w:t>
      </w:r>
      <w:r w:rsidR="006B19C6" w:rsidRPr="000336C7">
        <w:rPr>
          <w:rFonts w:ascii="Arial" w:hAnsi="Arial" w:cs="Arial"/>
        </w:rPr>
        <w:t xml:space="preserve"> accounts. The bookmaker has provided </w:t>
      </w:r>
      <w:r w:rsidR="00AF18DC" w:rsidRPr="000336C7">
        <w:rPr>
          <w:rFonts w:ascii="Arial" w:hAnsi="Arial" w:cs="Arial"/>
        </w:rPr>
        <w:t xml:space="preserve">a timeline to the multiple closures and </w:t>
      </w:r>
      <w:r w:rsidR="003077FB" w:rsidRPr="000336C7">
        <w:rPr>
          <w:rFonts w:ascii="Arial" w:hAnsi="Arial" w:cs="Arial"/>
        </w:rPr>
        <w:t>re-opening</w:t>
      </w:r>
      <w:r w:rsidR="00582FA7" w:rsidRPr="000336C7">
        <w:rPr>
          <w:rFonts w:ascii="Arial" w:hAnsi="Arial" w:cs="Arial"/>
        </w:rPr>
        <w:t xml:space="preserve">. </w:t>
      </w:r>
      <w:r w:rsidR="00487F61" w:rsidRPr="000336C7">
        <w:rPr>
          <w:rFonts w:ascii="Arial" w:hAnsi="Arial" w:cs="Arial"/>
        </w:rPr>
        <w:t xml:space="preserve">The reasons </w:t>
      </w:r>
      <w:r w:rsidR="001C519A" w:rsidRPr="000336C7">
        <w:rPr>
          <w:rFonts w:ascii="Arial" w:hAnsi="Arial" w:cs="Arial"/>
        </w:rPr>
        <w:t xml:space="preserve">for closure </w:t>
      </w:r>
      <w:r w:rsidR="00343419" w:rsidRPr="000336C7">
        <w:rPr>
          <w:rFonts w:ascii="Arial" w:hAnsi="Arial" w:cs="Arial"/>
        </w:rPr>
        <w:t xml:space="preserve">were </w:t>
      </w:r>
      <w:r w:rsidR="00C25023" w:rsidRPr="000336C7">
        <w:rPr>
          <w:rFonts w:ascii="Arial" w:hAnsi="Arial" w:cs="Arial"/>
        </w:rPr>
        <w:t xml:space="preserve">many and </w:t>
      </w:r>
      <w:r w:rsidR="00343419" w:rsidRPr="000336C7">
        <w:rPr>
          <w:rFonts w:ascii="Arial" w:hAnsi="Arial" w:cs="Arial"/>
        </w:rPr>
        <w:t>varied from time to time.</w:t>
      </w:r>
      <w:r w:rsidR="00AA6A3F" w:rsidRPr="000336C7">
        <w:rPr>
          <w:rFonts w:ascii="Arial" w:hAnsi="Arial" w:cs="Arial"/>
        </w:rPr>
        <w:t xml:space="preserve"> They included </w:t>
      </w:r>
      <w:r w:rsidR="007E6AE3" w:rsidRPr="000336C7">
        <w:rPr>
          <w:rFonts w:ascii="Arial" w:hAnsi="Arial" w:cs="Arial"/>
        </w:rPr>
        <w:t xml:space="preserve">the client being unhappy with the bookmaker’s service to not being provided with bonus bets </w:t>
      </w:r>
      <w:r w:rsidR="00166C55" w:rsidRPr="000336C7">
        <w:rPr>
          <w:rFonts w:ascii="Arial" w:hAnsi="Arial" w:cs="Arial"/>
        </w:rPr>
        <w:t>when requested.</w:t>
      </w:r>
    </w:p>
    <w:p w14:paraId="6E1EDCDB" w14:textId="77777777" w:rsidR="009A3D89" w:rsidRPr="000336C7" w:rsidRDefault="00343419" w:rsidP="000336C7">
      <w:pPr>
        <w:pStyle w:val="ListParagraph"/>
        <w:numPr>
          <w:ilvl w:val="0"/>
          <w:numId w:val="27"/>
        </w:numPr>
        <w:spacing w:after="200"/>
        <w:ind w:left="567" w:hanging="425"/>
        <w:jc w:val="both"/>
        <w:rPr>
          <w:rFonts w:ascii="Arial" w:hAnsi="Arial" w:cs="Arial"/>
        </w:rPr>
      </w:pPr>
      <w:r w:rsidRPr="000336C7">
        <w:rPr>
          <w:rFonts w:ascii="Arial" w:hAnsi="Arial" w:cs="Arial"/>
        </w:rPr>
        <w:t xml:space="preserve">The bookmaker in their response to this dispute have provided the Commission with the following: - </w:t>
      </w:r>
    </w:p>
    <w:p w14:paraId="3A1256E2" w14:textId="77777777" w:rsidR="00745920" w:rsidRDefault="00745920">
      <w:pPr>
        <w:rPr>
          <w:rFonts w:ascii="Arial" w:hAnsi="Arial" w:cs="Arial"/>
        </w:rPr>
      </w:pPr>
      <w:r>
        <w:rPr>
          <w:rFonts w:ascii="Arial" w:hAnsi="Arial" w:cs="Arial"/>
        </w:rPr>
        <w:br w:type="page"/>
      </w:r>
    </w:p>
    <w:p w14:paraId="2ADD9628" w14:textId="7B31A19F" w:rsidR="00343419" w:rsidRPr="000336C7" w:rsidRDefault="00343419" w:rsidP="00745920">
      <w:pPr>
        <w:pStyle w:val="ListParagraph"/>
        <w:ind w:left="873"/>
        <w:jc w:val="both"/>
        <w:rPr>
          <w:rFonts w:ascii="Arial" w:hAnsi="Arial" w:cs="Arial"/>
        </w:rPr>
      </w:pPr>
      <w:r w:rsidRPr="000336C7">
        <w:rPr>
          <w:rFonts w:ascii="Arial" w:hAnsi="Arial" w:cs="Arial"/>
        </w:rPr>
        <w:lastRenderedPageBreak/>
        <w:t>a) 1</w:t>
      </w:r>
      <w:r w:rsidR="006F4DE3" w:rsidRPr="000336C7">
        <w:rPr>
          <w:rFonts w:ascii="Arial" w:hAnsi="Arial" w:cs="Arial"/>
        </w:rPr>
        <w:t>1</w:t>
      </w:r>
      <w:r w:rsidRPr="000336C7">
        <w:rPr>
          <w:rFonts w:ascii="Arial" w:hAnsi="Arial" w:cs="Arial"/>
        </w:rPr>
        <w:t xml:space="preserve"> phone call transcripts in relation to the dispute. </w:t>
      </w:r>
    </w:p>
    <w:p w14:paraId="11D63A6D" w14:textId="310BBBD0" w:rsidR="00343419" w:rsidRPr="000336C7" w:rsidRDefault="00343419" w:rsidP="00745920">
      <w:pPr>
        <w:pStyle w:val="ListParagraph"/>
        <w:ind w:left="873"/>
        <w:jc w:val="both"/>
        <w:rPr>
          <w:rFonts w:ascii="Arial" w:hAnsi="Arial" w:cs="Arial"/>
        </w:rPr>
      </w:pPr>
      <w:r w:rsidRPr="000336C7">
        <w:rPr>
          <w:rFonts w:ascii="Arial" w:hAnsi="Arial" w:cs="Arial"/>
        </w:rPr>
        <w:t xml:space="preserve">b) </w:t>
      </w:r>
      <w:proofErr w:type="gramStart"/>
      <w:r w:rsidRPr="000336C7">
        <w:rPr>
          <w:rFonts w:ascii="Arial" w:hAnsi="Arial" w:cs="Arial"/>
        </w:rPr>
        <w:t>a</w:t>
      </w:r>
      <w:proofErr w:type="gramEnd"/>
      <w:r w:rsidRPr="000336C7">
        <w:rPr>
          <w:rFonts w:ascii="Arial" w:hAnsi="Arial" w:cs="Arial"/>
        </w:rPr>
        <w:t xml:space="preserve"> portion of their client’s bet and financial history and </w:t>
      </w:r>
    </w:p>
    <w:p w14:paraId="628C1C6C" w14:textId="5819ED39" w:rsidR="00343419" w:rsidRPr="000336C7" w:rsidRDefault="00343419" w:rsidP="00745920">
      <w:pPr>
        <w:pStyle w:val="ListParagraph"/>
        <w:ind w:left="873"/>
        <w:jc w:val="both"/>
        <w:rPr>
          <w:rFonts w:ascii="Arial" w:hAnsi="Arial" w:cs="Arial"/>
        </w:rPr>
      </w:pPr>
      <w:r w:rsidRPr="000336C7">
        <w:rPr>
          <w:rFonts w:ascii="Arial" w:hAnsi="Arial" w:cs="Arial"/>
        </w:rPr>
        <w:t xml:space="preserve">c) </w:t>
      </w:r>
      <w:proofErr w:type="gramStart"/>
      <w:r w:rsidRPr="000336C7">
        <w:rPr>
          <w:rFonts w:ascii="Arial" w:hAnsi="Arial" w:cs="Arial"/>
        </w:rPr>
        <w:t>the</w:t>
      </w:r>
      <w:proofErr w:type="gramEnd"/>
      <w:r w:rsidRPr="000336C7">
        <w:rPr>
          <w:rFonts w:ascii="Arial" w:hAnsi="Arial" w:cs="Arial"/>
        </w:rPr>
        <w:t xml:space="preserve"> “client notes” for Mr </w:t>
      </w:r>
      <w:r w:rsidR="00A4426C">
        <w:rPr>
          <w:rFonts w:ascii="Arial" w:hAnsi="Arial" w:cs="Arial"/>
        </w:rPr>
        <w:t>M</w:t>
      </w:r>
      <w:r w:rsidRPr="000336C7">
        <w:rPr>
          <w:rFonts w:ascii="Arial" w:hAnsi="Arial" w:cs="Arial"/>
        </w:rPr>
        <w:t>’s betting accounts with William Hill.</w:t>
      </w:r>
    </w:p>
    <w:p w14:paraId="2E230CC1" w14:textId="77777777" w:rsidR="006F4DE3" w:rsidRPr="000336C7" w:rsidRDefault="006F4DE3" w:rsidP="000336C7">
      <w:pPr>
        <w:pStyle w:val="ListParagraph"/>
        <w:ind w:left="872"/>
        <w:jc w:val="both"/>
        <w:rPr>
          <w:rFonts w:ascii="Arial" w:hAnsi="Arial" w:cs="Arial"/>
        </w:rPr>
      </w:pPr>
    </w:p>
    <w:p w14:paraId="28AE683E" w14:textId="3AE5482D" w:rsidR="00AF58D6" w:rsidRPr="000336C7" w:rsidRDefault="00AF58D6" w:rsidP="000336C7">
      <w:pPr>
        <w:ind w:left="567"/>
        <w:jc w:val="both"/>
        <w:rPr>
          <w:rFonts w:ascii="Arial" w:hAnsi="Arial" w:cs="Arial"/>
        </w:rPr>
      </w:pPr>
      <w:r w:rsidRPr="000336C7">
        <w:rPr>
          <w:rFonts w:ascii="Arial" w:hAnsi="Arial" w:cs="Arial"/>
        </w:rPr>
        <w:t>Further information was requested of the bookmaker by the investigator and supplied including particulars/copy of a further phone call relating to this dispute and a copy of William Hill Australia Responsible Gambling Training document.</w:t>
      </w:r>
    </w:p>
    <w:p w14:paraId="789FF3F5" w14:textId="1A46B3BF" w:rsidR="00476D81" w:rsidRPr="000336C7" w:rsidRDefault="00476D81" w:rsidP="000336C7">
      <w:pPr>
        <w:jc w:val="both"/>
        <w:rPr>
          <w:rFonts w:ascii="Arial" w:hAnsi="Arial" w:cs="Arial"/>
        </w:rPr>
      </w:pPr>
    </w:p>
    <w:p w14:paraId="683B6375" w14:textId="76596A89" w:rsidR="000336C7" w:rsidRDefault="00BB23C0" w:rsidP="000336C7">
      <w:pPr>
        <w:ind w:left="567" w:hanging="567"/>
        <w:jc w:val="both"/>
        <w:rPr>
          <w:rFonts w:ascii="Arial" w:hAnsi="Arial" w:cs="Arial"/>
        </w:rPr>
      </w:pPr>
      <w:r w:rsidRPr="000336C7">
        <w:rPr>
          <w:rFonts w:ascii="Arial" w:hAnsi="Arial" w:cs="Arial"/>
        </w:rPr>
        <w:t>8</w:t>
      </w:r>
      <w:r w:rsidR="000336C7">
        <w:rPr>
          <w:rFonts w:ascii="Arial" w:hAnsi="Arial" w:cs="Arial"/>
        </w:rPr>
        <w:t>.</w:t>
      </w:r>
      <w:r w:rsidRPr="000336C7">
        <w:rPr>
          <w:rFonts w:ascii="Arial" w:hAnsi="Arial" w:cs="Arial"/>
        </w:rPr>
        <w:tab/>
      </w:r>
      <w:r w:rsidR="002C5001" w:rsidRPr="000336C7">
        <w:rPr>
          <w:rFonts w:ascii="Arial" w:hAnsi="Arial" w:cs="Arial"/>
        </w:rPr>
        <w:t xml:space="preserve">The transcript of the 12 </w:t>
      </w:r>
      <w:r w:rsidR="007925E6" w:rsidRPr="000336C7">
        <w:rPr>
          <w:rFonts w:ascii="Arial" w:hAnsi="Arial" w:cs="Arial"/>
        </w:rPr>
        <w:t xml:space="preserve">phone calls were </w:t>
      </w:r>
      <w:r w:rsidR="00ED21E7" w:rsidRPr="000336C7">
        <w:rPr>
          <w:rFonts w:ascii="Arial" w:hAnsi="Arial" w:cs="Arial"/>
        </w:rPr>
        <w:t xml:space="preserve">listened to and </w:t>
      </w:r>
      <w:r w:rsidR="007925E6" w:rsidRPr="000336C7">
        <w:rPr>
          <w:rFonts w:ascii="Arial" w:hAnsi="Arial" w:cs="Arial"/>
        </w:rPr>
        <w:t>reviewed at the time by the Commission’s investigator</w:t>
      </w:r>
      <w:r w:rsidR="00746D20" w:rsidRPr="000336C7">
        <w:rPr>
          <w:rFonts w:ascii="Arial" w:hAnsi="Arial" w:cs="Arial"/>
        </w:rPr>
        <w:t xml:space="preserve"> and </w:t>
      </w:r>
      <w:r w:rsidR="00A27919" w:rsidRPr="000336C7">
        <w:rPr>
          <w:rFonts w:ascii="Arial" w:hAnsi="Arial" w:cs="Arial"/>
        </w:rPr>
        <w:t>produced to th</w:t>
      </w:r>
      <w:r w:rsidR="00DE58CB" w:rsidRPr="000336C7">
        <w:rPr>
          <w:rFonts w:ascii="Arial" w:hAnsi="Arial" w:cs="Arial"/>
        </w:rPr>
        <w:t xml:space="preserve">is panel for consideration. </w:t>
      </w:r>
      <w:r w:rsidR="00ED21E7" w:rsidRPr="000336C7">
        <w:rPr>
          <w:rFonts w:ascii="Arial" w:hAnsi="Arial" w:cs="Arial"/>
        </w:rPr>
        <w:t>Of the several closures and reopening</w:t>
      </w:r>
      <w:r w:rsidR="0078432E" w:rsidRPr="000336C7">
        <w:rPr>
          <w:rFonts w:ascii="Arial" w:hAnsi="Arial" w:cs="Arial"/>
        </w:rPr>
        <w:t xml:space="preserve"> of accounts during the relevant period </w:t>
      </w:r>
      <w:r w:rsidR="0098625A" w:rsidRPr="000336C7">
        <w:rPr>
          <w:rFonts w:ascii="Arial" w:hAnsi="Arial" w:cs="Arial"/>
        </w:rPr>
        <w:t xml:space="preserve">between October 2016 and March 2017 </w:t>
      </w:r>
      <w:r w:rsidR="00FC6D0B" w:rsidRPr="000336C7">
        <w:rPr>
          <w:rFonts w:ascii="Arial" w:hAnsi="Arial" w:cs="Arial"/>
        </w:rPr>
        <w:t xml:space="preserve">there is no direct </w:t>
      </w:r>
      <w:r w:rsidR="002A298D" w:rsidRPr="000336C7">
        <w:rPr>
          <w:rFonts w:ascii="Arial" w:hAnsi="Arial" w:cs="Arial"/>
        </w:rPr>
        <w:t xml:space="preserve">reliable evidence of </w:t>
      </w:r>
      <w:r w:rsidR="00E94DB1" w:rsidRPr="000336C7">
        <w:rPr>
          <w:rFonts w:ascii="Arial" w:hAnsi="Arial" w:cs="Arial"/>
        </w:rPr>
        <w:t xml:space="preserve">the </w:t>
      </w:r>
      <w:r w:rsidR="002A298D" w:rsidRPr="000336C7">
        <w:rPr>
          <w:rFonts w:ascii="Arial" w:hAnsi="Arial" w:cs="Arial"/>
        </w:rPr>
        <w:t xml:space="preserve">clients gambling </w:t>
      </w:r>
      <w:r w:rsidR="00E94DB1" w:rsidRPr="000336C7">
        <w:rPr>
          <w:rFonts w:ascii="Arial" w:hAnsi="Arial" w:cs="Arial"/>
        </w:rPr>
        <w:t xml:space="preserve">problems nor has it been </w:t>
      </w:r>
      <w:r w:rsidR="005D07C7" w:rsidRPr="000336C7">
        <w:rPr>
          <w:rFonts w:ascii="Arial" w:hAnsi="Arial" w:cs="Arial"/>
        </w:rPr>
        <w:t xml:space="preserve">stated to be the reason on any occasion for </w:t>
      </w:r>
      <w:r w:rsidR="00B30A56" w:rsidRPr="000336C7">
        <w:rPr>
          <w:rFonts w:ascii="Arial" w:hAnsi="Arial" w:cs="Arial"/>
        </w:rPr>
        <w:t xml:space="preserve">an </w:t>
      </w:r>
      <w:r w:rsidR="005D07C7" w:rsidRPr="000336C7">
        <w:rPr>
          <w:rFonts w:ascii="Arial" w:hAnsi="Arial" w:cs="Arial"/>
        </w:rPr>
        <w:t>account closure.</w:t>
      </w:r>
      <w:r w:rsidR="00E94DB1" w:rsidRPr="000336C7">
        <w:rPr>
          <w:rFonts w:ascii="Arial" w:hAnsi="Arial" w:cs="Arial"/>
        </w:rPr>
        <w:t xml:space="preserve"> </w:t>
      </w:r>
      <w:r w:rsidR="002A298D" w:rsidRPr="000336C7">
        <w:rPr>
          <w:rFonts w:ascii="Arial" w:hAnsi="Arial" w:cs="Arial"/>
        </w:rPr>
        <w:t xml:space="preserve"> </w:t>
      </w:r>
      <w:r w:rsidR="00B30A56" w:rsidRPr="000336C7">
        <w:rPr>
          <w:rFonts w:ascii="Arial" w:hAnsi="Arial" w:cs="Arial"/>
        </w:rPr>
        <w:t xml:space="preserve">That is until </w:t>
      </w:r>
      <w:r w:rsidR="000F3330" w:rsidRPr="000336C7">
        <w:rPr>
          <w:rFonts w:ascii="Arial" w:hAnsi="Arial" w:cs="Arial"/>
        </w:rPr>
        <w:t xml:space="preserve">account </w:t>
      </w:r>
      <w:r w:rsidR="003820CC" w:rsidRPr="000336C7">
        <w:rPr>
          <w:rFonts w:ascii="Arial" w:hAnsi="Arial" w:cs="Arial"/>
        </w:rPr>
        <w:t>closure request</w:t>
      </w:r>
      <w:r w:rsidR="000F3330" w:rsidRPr="000336C7">
        <w:rPr>
          <w:rFonts w:ascii="Arial" w:hAnsi="Arial" w:cs="Arial"/>
        </w:rPr>
        <w:t xml:space="preserve"> </w:t>
      </w:r>
      <w:r w:rsidR="003820CC" w:rsidRPr="000336C7">
        <w:rPr>
          <w:rFonts w:ascii="Arial" w:hAnsi="Arial" w:cs="Arial"/>
        </w:rPr>
        <w:t>on 10 March 2017</w:t>
      </w:r>
      <w:r w:rsidR="00F35414" w:rsidRPr="000336C7">
        <w:rPr>
          <w:rFonts w:ascii="Arial" w:hAnsi="Arial" w:cs="Arial"/>
        </w:rPr>
        <w:t>.</w:t>
      </w:r>
    </w:p>
    <w:p w14:paraId="05727F1B" w14:textId="77777777" w:rsidR="000336C7" w:rsidRDefault="000336C7" w:rsidP="000336C7">
      <w:pPr>
        <w:ind w:left="567" w:hanging="567"/>
        <w:jc w:val="both"/>
        <w:rPr>
          <w:rFonts w:ascii="Arial" w:hAnsi="Arial" w:cs="Arial"/>
        </w:rPr>
      </w:pPr>
    </w:p>
    <w:p w14:paraId="291FD7C9" w14:textId="589DA860" w:rsidR="00A33AAB" w:rsidRPr="000336C7" w:rsidRDefault="00A33AAB" w:rsidP="000336C7">
      <w:pPr>
        <w:pStyle w:val="ListParagraph"/>
        <w:numPr>
          <w:ilvl w:val="0"/>
          <w:numId w:val="30"/>
        </w:numPr>
        <w:ind w:left="567" w:hanging="567"/>
        <w:jc w:val="both"/>
        <w:rPr>
          <w:rFonts w:ascii="Arial" w:hAnsi="Arial" w:cs="Arial"/>
        </w:rPr>
      </w:pPr>
      <w:r w:rsidRPr="000336C7">
        <w:rPr>
          <w:rFonts w:ascii="Arial" w:hAnsi="Arial" w:cs="Arial"/>
        </w:rPr>
        <w:t xml:space="preserve">On </w:t>
      </w:r>
      <w:r w:rsidR="00240FBD" w:rsidRPr="000336C7">
        <w:rPr>
          <w:rFonts w:ascii="Arial" w:hAnsi="Arial" w:cs="Arial"/>
        </w:rPr>
        <w:t xml:space="preserve">that day during the client phone call with William Hill </w:t>
      </w:r>
      <w:r w:rsidR="00703B73" w:rsidRPr="000336C7">
        <w:rPr>
          <w:rFonts w:ascii="Arial" w:hAnsi="Arial" w:cs="Arial"/>
        </w:rPr>
        <w:t xml:space="preserve">the client </w:t>
      </w:r>
      <w:r w:rsidR="000A1D74" w:rsidRPr="000336C7">
        <w:rPr>
          <w:rFonts w:ascii="Arial" w:hAnsi="Arial" w:cs="Arial"/>
        </w:rPr>
        <w:t xml:space="preserve">clearly states </w:t>
      </w:r>
      <w:r w:rsidR="00F35414" w:rsidRPr="000336C7">
        <w:rPr>
          <w:rFonts w:ascii="Arial" w:hAnsi="Arial" w:cs="Arial"/>
        </w:rPr>
        <w:t xml:space="preserve">for the first time </w:t>
      </w:r>
      <w:r w:rsidR="00703B73" w:rsidRPr="000336C7">
        <w:rPr>
          <w:rFonts w:ascii="Arial" w:hAnsi="Arial" w:cs="Arial"/>
        </w:rPr>
        <w:t>he has a gambling problem.</w:t>
      </w:r>
    </w:p>
    <w:p w14:paraId="134B1358" w14:textId="7C20E0F7" w:rsidR="00FD5796" w:rsidRDefault="00FD5796" w:rsidP="00313A54">
      <w:pPr>
        <w:pStyle w:val="Heading2"/>
        <w:spacing w:before="480" w:line="360" w:lineRule="auto"/>
        <w:rPr>
          <w:rFonts w:cs="Arial"/>
        </w:rPr>
      </w:pPr>
      <w:r w:rsidRPr="008E5F56">
        <w:rPr>
          <w:rFonts w:cs="Arial"/>
        </w:rPr>
        <w:t>Consideration of the Issues</w:t>
      </w:r>
    </w:p>
    <w:p w14:paraId="14634D4F" w14:textId="4615675D" w:rsidR="00DF26B4" w:rsidRPr="000336C7" w:rsidRDefault="00C55F6E" w:rsidP="000336C7">
      <w:pPr>
        <w:pStyle w:val="ListParagraph"/>
        <w:numPr>
          <w:ilvl w:val="0"/>
          <w:numId w:val="30"/>
        </w:numPr>
        <w:ind w:left="567" w:hanging="567"/>
        <w:jc w:val="both"/>
        <w:rPr>
          <w:rFonts w:ascii="Arial" w:hAnsi="Arial" w:cs="Arial"/>
        </w:rPr>
      </w:pPr>
      <w:r w:rsidRPr="000336C7">
        <w:rPr>
          <w:rFonts w:ascii="Arial" w:hAnsi="Arial" w:cs="Arial"/>
        </w:rPr>
        <w:t xml:space="preserve">The issue for consideration </w:t>
      </w:r>
      <w:r w:rsidR="00A40872" w:rsidRPr="000336C7">
        <w:rPr>
          <w:rFonts w:ascii="Arial" w:hAnsi="Arial" w:cs="Arial"/>
        </w:rPr>
        <w:t xml:space="preserve">here is </w:t>
      </w:r>
      <w:r w:rsidR="00766000" w:rsidRPr="000336C7">
        <w:rPr>
          <w:rFonts w:ascii="Arial" w:hAnsi="Arial" w:cs="Arial"/>
        </w:rPr>
        <w:t>twofold</w:t>
      </w:r>
      <w:r w:rsidR="006A3DEF" w:rsidRPr="000336C7">
        <w:rPr>
          <w:rFonts w:ascii="Arial" w:hAnsi="Arial" w:cs="Arial"/>
        </w:rPr>
        <w:t xml:space="preserve">. </w:t>
      </w:r>
      <w:r w:rsidR="00D833DC" w:rsidRPr="000336C7">
        <w:rPr>
          <w:rFonts w:ascii="Arial" w:hAnsi="Arial" w:cs="Arial"/>
        </w:rPr>
        <w:t>First,</w:t>
      </w:r>
      <w:r w:rsidR="006A3DEF" w:rsidRPr="000336C7">
        <w:rPr>
          <w:rFonts w:ascii="Arial" w:hAnsi="Arial" w:cs="Arial"/>
        </w:rPr>
        <w:t xml:space="preserve"> </w:t>
      </w:r>
      <w:r w:rsidR="00A40872" w:rsidRPr="000336C7">
        <w:rPr>
          <w:rFonts w:ascii="Arial" w:hAnsi="Arial" w:cs="Arial"/>
        </w:rPr>
        <w:t xml:space="preserve">whether William Hill prior to </w:t>
      </w:r>
      <w:r w:rsidR="00C66435" w:rsidRPr="000336C7">
        <w:rPr>
          <w:rFonts w:ascii="Arial" w:hAnsi="Arial" w:cs="Arial"/>
        </w:rPr>
        <w:t xml:space="preserve">10 March 2017 had any knowledge of Mr </w:t>
      </w:r>
      <w:r w:rsidR="00A4426C">
        <w:rPr>
          <w:rFonts w:ascii="Arial" w:hAnsi="Arial" w:cs="Arial"/>
        </w:rPr>
        <w:t>M</w:t>
      </w:r>
      <w:r w:rsidR="00113EBA" w:rsidRPr="000336C7">
        <w:rPr>
          <w:rFonts w:ascii="Arial" w:hAnsi="Arial" w:cs="Arial"/>
        </w:rPr>
        <w:t xml:space="preserve">’s </w:t>
      </w:r>
      <w:r w:rsidR="00721878" w:rsidRPr="000336C7">
        <w:rPr>
          <w:rFonts w:ascii="Arial" w:hAnsi="Arial" w:cs="Arial"/>
        </w:rPr>
        <w:t>alleged advices around problem gambling issues.</w:t>
      </w:r>
      <w:r w:rsidR="00484C32" w:rsidRPr="000336C7">
        <w:rPr>
          <w:rFonts w:ascii="Arial" w:hAnsi="Arial" w:cs="Arial"/>
        </w:rPr>
        <w:t xml:space="preserve"> </w:t>
      </w:r>
      <w:r w:rsidR="000629F1" w:rsidRPr="000336C7">
        <w:rPr>
          <w:rFonts w:ascii="Arial" w:hAnsi="Arial" w:cs="Arial"/>
        </w:rPr>
        <w:t>Alternatively,</w:t>
      </w:r>
      <w:r w:rsidR="006A3DEF" w:rsidRPr="000336C7">
        <w:rPr>
          <w:rFonts w:ascii="Arial" w:hAnsi="Arial" w:cs="Arial"/>
        </w:rPr>
        <w:t xml:space="preserve"> </w:t>
      </w:r>
      <w:r w:rsidR="001C4AEB" w:rsidRPr="000336C7">
        <w:rPr>
          <w:rFonts w:ascii="Arial" w:hAnsi="Arial" w:cs="Arial"/>
        </w:rPr>
        <w:t xml:space="preserve">did </w:t>
      </w:r>
      <w:r w:rsidR="00007C71" w:rsidRPr="000336C7">
        <w:rPr>
          <w:rFonts w:ascii="Arial" w:hAnsi="Arial" w:cs="Arial"/>
        </w:rPr>
        <w:t>the</w:t>
      </w:r>
      <w:r w:rsidR="005526CA" w:rsidRPr="000336C7">
        <w:rPr>
          <w:rFonts w:ascii="Arial" w:hAnsi="Arial" w:cs="Arial"/>
        </w:rPr>
        <w:t xml:space="preserve"> recorded </w:t>
      </w:r>
      <w:r w:rsidR="005256AF" w:rsidRPr="000336C7">
        <w:rPr>
          <w:rFonts w:ascii="Arial" w:hAnsi="Arial" w:cs="Arial"/>
        </w:rPr>
        <w:t xml:space="preserve">client </w:t>
      </w:r>
      <w:r w:rsidR="005526CA" w:rsidRPr="000336C7">
        <w:rPr>
          <w:rFonts w:ascii="Arial" w:hAnsi="Arial" w:cs="Arial"/>
        </w:rPr>
        <w:t xml:space="preserve">behaviour </w:t>
      </w:r>
      <w:r w:rsidR="000629F1" w:rsidRPr="000336C7">
        <w:rPr>
          <w:rFonts w:ascii="Arial" w:hAnsi="Arial" w:cs="Arial"/>
        </w:rPr>
        <w:t>and</w:t>
      </w:r>
      <w:r w:rsidR="00FA6DAF" w:rsidRPr="000336C7">
        <w:rPr>
          <w:rFonts w:ascii="Arial" w:hAnsi="Arial" w:cs="Arial"/>
        </w:rPr>
        <w:t>/</w:t>
      </w:r>
      <w:r w:rsidR="005526CA" w:rsidRPr="000336C7">
        <w:rPr>
          <w:rFonts w:ascii="Arial" w:hAnsi="Arial" w:cs="Arial"/>
        </w:rPr>
        <w:t xml:space="preserve">or pattern of </w:t>
      </w:r>
      <w:r w:rsidR="00766000" w:rsidRPr="000336C7">
        <w:rPr>
          <w:rFonts w:ascii="Arial" w:hAnsi="Arial" w:cs="Arial"/>
        </w:rPr>
        <w:t>gambling during</w:t>
      </w:r>
      <w:r w:rsidR="00007C71" w:rsidRPr="000336C7">
        <w:rPr>
          <w:rFonts w:ascii="Arial" w:hAnsi="Arial" w:cs="Arial"/>
        </w:rPr>
        <w:t xml:space="preserve"> this period </w:t>
      </w:r>
      <w:r w:rsidR="001C4AEB" w:rsidRPr="000336C7">
        <w:rPr>
          <w:rFonts w:ascii="Arial" w:hAnsi="Arial" w:cs="Arial"/>
        </w:rPr>
        <w:t xml:space="preserve">raise red flags </w:t>
      </w:r>
      <w:r w:rsidR="00A1543B" w:rsidRPr="000336C7">
        <w:rPr>
          <w:rFonts w:ascii="Arial" w:hAnsi="Arial" w:cs="Arial"/>
        </w:rPr>
        <w:t xml:space="preserve">such that it </w:t>
      </w:r>
      <w:r w:rsidR="00007C71" w:rsidRPr="000336C7">
        <w:rPr>
          <w:rFonts w:ascii="Arial" w:hAnsi="Arial" w:cs="Arial"/>
        </w:rPr>
        <w:t xml:space="preserve">should have acted as a </w:t>
      </w:r>
      <w:r w:rsidR="00A1543B" w:rsidRPr="000336C7">
        <w:rPr>
          <w:rFonts w:ascii="Arial" w:hAnsi="Arial" w:cs="Arial"/>
        </w:rPr>
        <w:t xml:space="preserve">clear warning </w:t>
      </w:r>
      <w:r w:rsidR="003211C9" w:rsidRPr="000336C7">
        <w:rPr>
          <w:rFonts w:ascii="Arial" w:hAnsi="Arial" w:cs="Arial"/>
        </w:rPr>
        <w:t>for behaviour,</w:t>
      </w:r>
      <w:r w:rsidR="00007C71" w:rsidRPr="000336C7">
        <w:rPr>
          <w:rFonts w:ascii="Arial" w:hAnsi="Arial" w:cs="Arial"/>
        </w:rPr>
        <w:t xml:space="preserve"> </w:t>
      </w:r>
      <w:r w:rsidR="00437C94" w:rsidRPr="000336C7">
        <w:rPr>
          <w:rFonts w:ascii="Arial" w:hAnsi="Arial" w:cs="Arial"/>
        </w:rPr>
        <w:t xml:space="preserve">warranting </w:t>
      </w:r>
      <w:r w:rsidR="00766000" w:rsidRPr="000336C7">
        <w:rPr>
          <w:rFonts w:ascii="Arial" w:hAnsi="Arial" w:cs="Arial"/>
        </w:rPr>
        <w:t>further</w:t>
      </w:r>
      <w:r w:rsidR="00437C94" w:rsidRPr="000336C7">
        <w:rPr>
          <w:rFonts w:ascii="Arial" w:hAnsi="Arial" w:cs="Arial"/>
        </w:rPr>
        <w:t xml:space="preserve"> enquiry and investigation </w:t>
      </w:r>
      <w:r w:rsidR="00766000" w:rsidRPr="000336C7">
        <w:rPr>
          <w:rFonts w:ascii="Arial" w:hAnsi="Arial" w:cs="Arial"/>
        </w:rPr>
        <w:t xml:space="preserve">into the </w:t>
      </w:r>
      <w:proofErr w:type="gramStart"/>
      <w:r w:rsidR="00766000" w:rsidRPr="000336C7">
        <w:rPr>
          <w:rFonts w:ascii="Arial" w:hAnsi="Arial" w:cs="Arial"/>
        </w:rPr>
        <w:t>account</w:t>
      </w:r>
      <w:r w:rsidR="000336C7">
        <w:rPr>
          <w:rFonts w:ascii="Arial" w:hAnsi="Arial" w:cs="Arial"/>
        </w:rPr>
        <w:t>.</w:t>
      </w:r>
      <w:proofErr w:type="gramEnd"/>
    </w:p>
    <w:p w14:paraId="6BFF51C7" w14:textId="60688C0A" w:rsidR="003211C9" w:rsidRDefault="003211C9" w:rsidP="000336C7">
      <w:pPr>
        <w:pStyle w:val="ListParagraph"/>
        <w:ind w:left="567"/>
        <w:jc w:val="both"/>
        <w:rPr>
          <w:rFonts w:ascii="Arial" w:hAnsi="Arial" w:cs="Arial"/>
        </w:rPr>
      </w:pPr>
    </w:p>
    <w:p w14:paraId="25D1425D" w14:textId="187DC798" w:rsidR="003211C9" w:rsidRDefault="00420CC0" w:rsidP="000336C7">
      <w:pPr>
        <w:pStyle w:val="ListParagraph"/>
        <w:numPr>
          <w:ilvl w:val="0"/>
          <w:numId w:val="30"/>
        </w:numPr>
        <w:ind w:left="567" w:hanging="567"/>
        <w:jc w:val="both"/>
        <w:rPr>
          <w:rFonts w:ascii="Arial" w:hAnsi="Arial" w:cs="Arial"/>
        </w:rPr>
      </w:pPr>
      <w:r>
        <w:rPr>
          <w:rFonts w:ascii="Arial" w:hAnsi="Arial" w:cs="Arial"/>
        </w:rPr>
        <w:t xml:space="preserve">From the information provided there is insufficient evidence </w:t>
      </w:r>
      <w:r w:rsidR="00AB0F42">
        <w:rPr>
          <w:rFonts w:ascii="Arial" w:hAnsi="Arial" w:cs="Arial"/>
        </w:rPr>
        <w:t xml:space="preserve">to find that the bookmaker was ever told by the </w:t>
      </w:r>
      <w:r w:rsidR="00081F7A">
        <w:rPr>
          <w:rFonts w:ascii="Arial" w:hAnsi="Arial" w:cs="Arial"/>
        </w:rPr>
        <w:t xml:space="preserve">customer directly that he had a problem with gambling </w:t>
      </w:r>
      <w:r w:rsidR="00D05966">
        <w:rPr>
          <w:rFonts w:ascii="Arial" w:hAnsi="Arial" w:cs="Arial"/>
        </w:rPr>
        <w:t xml:space="preserve">nor did he ever before </w:t>
      </w:r>
      <w:r w:rsidR="001A6C6D">
        <w:rPr>
          <w:rFonts w:ascii="Arial" w:hAnsi="Arial" w:cs="Arial"/>
        </w:rPr>
        <w:t xml:space="preserve">10 March </w:t>
      </w:r>
      <w:r w:rsidR="00F3300D">
        <w:rPr>
          <w:rFonts w:ascii="Arial" w:hAnsi="Arial" w:cs="Arial"/>
        </w:rPr>
        <w:t xml:space="preserve">2017 </w:t>
      </w:r>
      <w:r w:rsidR="00602989">
        <w:rPr>
          <w:rFonts w:ascii="Arial" w:hAnsi="Arial" w:cs="Arial"/>
        </w:rPr>
        <w:t xml:space="preserve">give as </w:t>
      </w:r>
      <w:r w:rsidR="00F3300D">
        <w:rPr>
          <w:rFonts w:ascii="Arial" w:hAnsi="Arial" w:cs="Arial"/>
        </w:rPr>
        <w:t>his reason</w:t>
      </w:r>
      <w:r w:rsidR="007B37BC">
        <w:rPr>
          <w:rFonts w:ascii="Arial" w:hAnsi="Arial" w:cs="Arial"/>
        </w:rPr>
        <w:t xml:space="preserve"> for </w:t>
      </w:r>
      <w:r w:rsidR="001A6C6D">
        <w:rPr>
          <w:rFonts w:ascii="Arial" w:hAnsi="Arial" w:cs="Arial"/>
        </w:rPr>
        <w:t xml:space="preserve">requesting </w:t>
      </w:r>
      <w:r w:rsidR="00DE2AD4">
        <w:rPr>
          <w:rFonts w:ascii="Arial" w:hAnsi="Arial" w:cs="Arial"/>
        </w:rPr>
        <w:t xml:space="preserve">an </w:t>
      </w:r>
      <w:r w:rsidR="007B37BC">
        <w:rPr>
          <w:rFonts w:ascii="Arial" w:hAnsi="Arial" w:cs="Arial"/>
        </w:rPr>
        <w:t>account</w:t>
      </w:r>
      <w:r w:rsidR="00602989">
        <w:rPr>
          <w:rFonts w:ascii="Arial" w:hAnsi="Arial" w:cs="Arial"/>
        </w:rPr>
        <w:t xml:space="preserve"> closure</w:t>
      </w:r>
      <w:r w:rsidR="007B37BC">
        <w:rPr>
          <w:rFonts w:ascii="Arial" w:hAnsi="Arial" w:cs="Arial"/>
        </w:rPr>
        <w:t xml:space="preserve"> </w:t>
      </w:r>
      <w:r w:rsidR="00DE2AD4">
        <w:rPr>
          <w:rFonts w:ascii="Arial" w:hAnsi="Arial" w:cs="Arial"/>
        </w:rPr>
        <w:t>for reasons</w:t>
      </w:r>
      <w:r w:rsidR="007B37BC">
        <w:rPr>
          <w:rFonts w:ascii="Arial" w:hAnsi="Arial" w:cs="Arial"/>
        </w:rPr>
        <w:t xml:space="preserve"> of </w:t>
      </w:r>
      <w:r w:rsidR="00A71322">
        <w:rPr>
          <w:rFonts w:ascii="Arial" w:hAnsi="Arial" w:cs="Arial"/>
        </w:rPr>
        <w:t>gambling problems.</w:t>
      </w:r>
      <w:r w:rsidR="00F3300D">
        <w:rPr>
          <w:rFonts w:ascii="Arial" w:hAnsi="Arial" w:cs="Arial"/>
        </w:rPr>
        <w:t xml:space="preserve"> We can be satisfied </w:t>
      </w:r>
      <w:r w:rsidR="00C20F9D">
        <w:rPr>
          <w:rFonts w:ascii="Arial" w:hAnsi="Arial" w:cs="Arial"/>
        </w:rPr>
        <w:t>from looking</w:t>
      </w:r>
      <w:r w:rsidR="004946C5">
        <w:rPr>
          <w:rFonts w:ascii="Arial" w:hAnsi="Arial" w:cs="Arial"/>
        </w:rPr>
        <w:t xml:space="preserve"> at all the evidence before us that </w:t>
      </w:r>
      <w:r w:rsidR="00BD4C5F">
        <w:rPr>
          <w:rFonts w:ascii="Arial" w:hAnsi="Arial" w:cs="Arial"/>
        </w:rPr>
        <w:t xml:space="preserve">Mr </w:t>
      </w:r>
      <w:r w:rsidR="00A4426C">
        <w:rPr>
          <w:rFonts w:ascii="Arial" w:hAnsi="Arial" w:cs="Arial"/>
        </w:rPr>
        <w:t>M</w:t>
      </w:r>
      <w:r w:rsidR="00BD4C5F">
        <w:rPr>
          <w:rFonts w:ascii="Arial" w:hAnsi="Arial" w:cs="Arial"/>
        </w:rPr>
        <w:t>’s</w:t>
      </w:r>
      <w:r w:rsidR="004946C5">
        <w:rPr>
          <w:rFonts w:ascii="Arial" w:hAnsi="Arial" w:cs="Arial"/>
        </w:rPr>
        <w:t xml:space="preserve"> stated reasons on each occasion he closed </w:t>
      </w:r>
      <w:r w:rsidR="00B904B8">
        <w:rPr>
          <w:rFonts w:ascii="Arial" w:hAnsi="Arial" w:cs="Arial"/>
        </w:rPr>
        <w:t xml:space="preserve">his account were </w:t>
      </w:r>
      <w:r w:rsidR="000347C6">
        <w:rPr>
          <w:rFonts w:ascii="Arial" w:hAnsi="Arial" w:cs="Arial"/>
        </w:rPr>
        <w:t xml:space="preserve">for </w:t>
      </w:r>
      <w:r w:rsidR="00B904B8">
        <w:rPr>
          <w:rFonts w:ascii="Arial" w:hAnsi="Arial" w:cs="Arial"/>
        </w:rPr>
        <w:t xml:space="preserve">legitimate complaints </w:t>
      </w:r>
      <w:r w:rsidR="00BD4C5F">
        <w:rPr>
          <w:rFonts w:ascii="Arial" w:hAnsi="Arial" w:cs="Arial"/>
        </w:rPr>
        <w:t xml:space="preserve">of service and </w:t>
      </w:r>
      <w:r w:rsidR="00C20F9D">
        <w:rPr>
          <w:rFonts w:ascii="Arial" w:hAnsi="Arial" w:cs="Arial"/>
        </w:rPr>
        <w:t>treatment rather</w:t>
      </w:r>
      <w:r w:rsidR="000347C6">
        <w:rPr>
          <w:rFonts w:ascii="Arial" w:hAnsi="Arial" w:cs="Arial"/>
        </w:rPr>
        <w:t xml:space="preserve"> than compulsive </w:t>
      </w:r>
      <w:r w:rsidR="00F217C3">
        <w:rPr>
          <w:rFonts w:ascii="Arial" w:hAnsi="Arial" w:cs="Arial"/>
        </w:rPr>
        <w:t xml:space="preserve">gambling </w:t>
      </w:r>
      <w:r w:rsidR="00D9509C">
        <w:rPr>
          <w:rFonts w:ascii="Arial" w:hAnsi="Arial" w:cs="Arial"/>
        </w:rPr>
        <w:t xml:space="preserve">reasons. That such reasons </w:t>
      </w:r>
      <w:r w:rsidR="00C20F9D">
        <w:rPr>
          <w:rFonts w:ascii="Arial" w:hAnsi="Arial" w:cs="Arial"/>
        </w:rPr>
        <w:t xml:space="preserve">were accepted by William Hill on face value was </w:t>
      </w:r>
      <w:r w:rsidR="00EC275D">
        <w:rPr>
          <w:rFonts w:ascii="Arial" w:hAnsi="Arial" w:cs="Arial"/>
        </w:rPr>
        <w:t xml:space="preserve">understandable and not </w:t>
      </w:r>
      <w:r w:rsidR="00910C06">
        <w:rPr>
          <w:rFonts w:ascii="Arial" w:hAnsi="Arial" w:cs="Arial"/>
        </w:rPr>
        <w:t xml:space="preserve">necessarily </w:t>
      </w:r>
      <w:r w:rsidR="00EC275D">
        <w:rPr>
          <w:rFonts w:ascii="Arial" w:hAnsi="Arial" w:cs="Arial"/>
        </w:rPr>
        <w:t>alarming at the time.</w:t>
      </w:r>
    </w:p>
    <w:p w14:paraId="00295F0B" w14:textId="77777777" w:rsidR="00910C06" w:rsidRDefault="00910C06" w:rsidP="000336C7">
      <w:pPr>
        <w:pStyle w:val="ListParagraph"/>
        <w:ind w:left="567"/>
        <w:jc w:val="both"/>
        <w:rPr>
          <w:rFonts w:ascii="Arial" w:hAnsi="Arial" w:cs="Arial"/>
        </w:rPr>
      </w:pPr>
    </w:p>
    <w:p w14:paraId="7A30974D" w14:textId="69993CCD" w:rsidR="00910C06" w:rsidRDefault="00910C06" w:rsidP="000336C7">
      <w:pPr>
        <w:pStyle w:val="ListParagraph"/>
        <w:numPr>
          <w:ilvl w:val="0"/>
          <w:numId w:val="30"/>
        </w:numPr>
        <w:ind w:left="567" w:hanging="567"/>
        <w:jc w:val="both"/>
        <w:rPr>
          <w:rFonts w:ascii="Arial" w:hAnsi="Arial" w:cs="Arial"/>
        </w:rPr>
      </w:pPr>
      <w:r>
        <w:rPr>
          <w:rFonts w:ascii="Arial" w:hAnsi="Arial" w:cs="Arial"/>
        </w:rPr>
        <w:t xml:space="preserve">William Hill </w:t>
      </w:r>
      <w:r w:rsidR="00892438">
        <w:rPr>
          <w:rFonts w:ascii="Arial" w:hAnsi="Arial" w:cs="Arial"/>
        </w:rPr>
        <w:t xml:space="preserve">as a licenced Sports Bookmaker </w:t>
      </w:r>
      <w:r w:rsidR="005B3FCE">
        <w:rPr>
          <w:rFonts w:ascii="Arial" w:hAnsi="Arial" w:cs="Arial"/>
        </w:rPr>
        <w:t xml:space="preserve">is required to adhere </w:t>
      </w:r>
      <w:r w:rsidR="00712FC8">
        <w:rPr>
          <w:rFonts w:ascii="Arial" w:hAnsi="Arial" w:cs="Arial"/>
        </w:rPr>
        <w:t xml:space="preserve">to and observe the Northern Territory Code of Practise for </w:t>
      </w:r>
      <w:r w:rsidR="00C440D2">
        <w:rPr>
          <w:rFonts w:ascii="Arial" w:hAnsi="Arial" w:cs="Arial"/>
        </w:rPr>
        <w:t>R</w:t>
      </w:r>
      <w:r w:rsidR="00712FC8">
        <w:rPr>
          <w:rFonts w:ascii="Arial" w:hAnsi="Arial" w:cs="Arial"/>
        </w:rPr>
        <w:t xml:space="preserve">esponsible </w:t>
      </w:r>
      <w:r w:rsidR="00C440D2">
        <w:rPr>
          <w:rFonts w:ascii="Arial" w:hAnsi="Arial" w:cs="Arial"/>
        </w:rPr>
        <w:t>O</w:t>
      </w:r>
      <w:r w:rsidR="00AB4565">
        <w:rPr>
          <w:rFonts w:ascii="Arial" w:hAnsi="Arial" w:cs="Arial"/>
        </w:rPr>
        <w:t>nline</w:t>
      </w:r>
      <w:r w:rsidR="00C440D2">
        <w:rPr>
          <w:rFonts w:ascii="Arial" w:hAnsi="Arial" w:cs="Arial"/>
        </w:rPr>
        <w:t xml:space="preserve"> G</w:t>
      </w:r>
      <w:r w:rsidR="00AB4565">
        <w:rPr>
          <w:rFonts w:ascii="Arial" w:hAnsi="Arial" w:cs="Arial"/>
        </w:rPr>
        <w:t>ambling</w:t>
      </w:r>
      <w:r w:rsidR="00892438">
        <w:rPr>
          <w:rFonts w:ascii="Arial" w:hAnsi="Arial" w:cs="Arial"/>
        </w:rPr>
        <w:t xml:space="preserve"> </w:t>
      </w:r>
      <w:r w:rsidR="00C440D2">
        <w:rPr>
          <w:rFonts w:ascii="Arial" w:hAnsi="Arial" w:cs="Arial"/>
        </w:rPr>
        <w:t xml:space="preserve">as part of its </w:t>
      </w:r>
      <w:r w:rsidR="000C720C">
        <w:rPr>
          <w:rFonts w:ascii="Arial" w:hAnsi="Arial" w:cs="Arial"/>
        </w:rPr>
        <w:t>undertaking to th</w:t>
      </w:r>
      <w:r w:rsidR="005F2F69">
        <w:rPr>
          <w:rFonts w:ascii="Arial" w:hAnsi="Arial" w:cs="Arial"/>
        </w:rPr>
        <w:t>is</w:t>
      </w:r>
      <w:r w:rsidR="000C720C">
        <w:rPr>
          <w:rFonts w:ascii="Arial" w:hAnsi="Arial" w:cs="Arial"/>
        </w:rPr>
        <w:t xml:space="preserve"> Regulatory Authority </w:t>
      </w:r>
      <w:r w:rsidR="005F2F69">
        <w:rPr>
          <w:rFonts w:ascii="Arial" w:hAnsi="Arial" w:cs="Arial"/>
        </w:rPr>
        <w:t>as well as</w:t>
      </w:r>
      <w:r w:rsidR="000C720C">
        <w:rPr>
          <w:rFonts w:ascii="Arial" w:hAnsi="Arial" w:cs="Arial"/>
        </w:rPr>
        <w:t xml:space="preserve"> its clients.</w:t>
      </w:r>
      <w:r w:rsidR="005F2F69">
        <w:rPr>
          <w:rFonts w:ascii="Arial" w:hAnsi="Arial" w:cs="Arial"/>
        </w:rPr>
        <w:t xml:space="preserve"> </w:t>
      </w:r>
      <w:r w:rsidR="002E040B">
        <w:rPr>
          <w:rFonts w:ascii="Arial" w:hAnsi="Arial" w:cs="Arial"/>
        </w:rPr>
        <w:t xml:space="preserve">Following on from </w:t>
      </w:r>
      <w:r w:rsidR="00357C0D">
        <w:rPr>
          <w:rFonts w:ascii="Arial" w:hAnsi="Arial" w:cs="Arial"/>
        </w:rPr>
        <w:t>such</w:t>
      </w:r>
      <w:r w:rsidR="002E040B">
        <w:rPr>
          <w:rFonts w:ascii="Arial" w:hAnsi="Arial" w:cs="Arial"/>
        </w:rPr>
        <w:t xml:space="preserve"> obligation this Commission will </w:t>
      </w:r>
      <w:r w:rsidR="006878D7">
        <w:rPr>
          <w:rFonts w:ascii="Arial" w:hAnsi="Arial" w:cs="Arial"/>
        </w:rPr>
        <w:t xml:space="preserve">look </w:t>
      </w:r>
      <w:r w:rsidR="00965E11">
        <w:rPr>
          <w:rFonts w:ascii="Arial" w:hAnsi="Arial" w:cs="Arial"/>
        </w:rPr>
        <w:t>when investigating any complaint around problem gambling</w:t>
      </w:r>
      <w:r w:rsidR="00A206A6">
        <w:rPr>
          <w:rFonts w:ascii="Arial" w:hAnsi="Arial" w:cs="Arial"/>
        </w:rPr>
        <w:t xml:space="preserve">, whether there has been any </w:t>
      </w:r>
      <w:r w:rsidR="00385D6E">
        <w:rPr>
          <w:rFonts w:ascii="Arial" w:hAnsi="Arial" w:cs="Arial"/>
        </w:rPr>
        <w:t>dereliction of duty to clients of bookmakers</w:t>
      </w:r>
      <w:r w:rsidR="00FA39C1">
        <w:rPr>
          <w:rFonts w:ascii="Arial" w:hAnsi="Arial" w:cs="Arial"/>
        </w:rPr>
        <w:t xml:space="preserve"> around </w:t>
      </w:r>
      <w:r w:rsidR="00AA39A6">
        <w:rPr>
          <w:rFonts w:ascii="Arial" w:hAnsi="Arial" w:cs="Arial"/>
        </w:rPr>
        <w:t xml:space="preserve">what are known as red flag indicators of </w:t>
      </w:r>
      <w:r w:rsidR="00D52154">
        <w:rPr>
          <w:rFonts w:ascii="Arial" w:hAnsi="Arial" w:cs="Arial"/>
        </w:rPr>
        <w:t xml:space="preserve">gambling </w:t>
      </w:r>
      <w:r w:rsidR="00977555">
        <w:rPr>
          <w:rFonts w:ascii="Arial" w:hAnsi="Arial" w:cs="Arial"/>
        </w:rPr>
        <w:t>problems</w:t>
      </w:r>
      <w:r w:rsidR="007C50D5">
        <w:rPr>
          <w:rFonts w:ascii="Arial" w:hAnsi="Arial" w:cs="Arial"/>
        </w:rPr>
        <w:t>.</w:t>
      </w:r>
    </w:p>
    <w:p w14:paraId="1C329394" w14:textId="77777777" w:rsidR="002F14AA" w:rsidRDefault="002F14AA" w:rsidP="000336C7">
      <w:pPr>
        <w:pStyle w:val="ListParagraph"/>
        <w:ind w:left="567"/>
        <w:jc w:val="both"/>
        <w:rPr>
          <w:rFonts w:ascii="Arial" w:hAnsi="Arial" w:cs="Arial"/>
        </w:rPr>
      </w:pPr>
    </w:p>
    <w:p w14:paraId="67F24908" w14:textId="01411659" w:rsidR="000336C7" w:rsidRDefault="002F14AA" w:rsidP="000336C7">
      <w:pPr>
        <w:pStyle w:val="ListParagraph"/>
        <w:numPr>
          <w:ilvl w:val="0"/>
          <w:numId w:val="30"/>
        </w:numPr>
        <w:ind w:left="567" w:hanging="567"/>
        <w:jc w:val="both"/>
        <w:rPr>
          <w:rFonts w:ascii="Arial" w:hAnsi="Arial" w:cs="Arial"/>
        </w:rPr>
      </w:pPr>
      <w:r>
        <w:rPr>
          <w:rFonts w:ascii="Arial" w:hAnsi="Arial" w:cs="Arial"/>
        </w:rPr>
        <w:t xml:space="preserve">From the recorded </w:t>
      </w:r>
      <w:r w:rsidR="008E3F19">
        <w:rPr>
          <w:rFonts w:ascii="Arial" w:hAnsi="Arial" w:cs="Arial"/>
        </w:rPr>
        <w:t xml:space="preserve">telephone transcripts </w:t>
      </w:r>
      <w:r w:rsidR="00586754">
        <w:rPr>
          <w:rFonts w:ascii="Arial" w:hAnsi="Arial" w:cs="Arial"/>
        </w:rPr>
        <w:t xml:space="preserve">there </w:t>
      </w:r>
      <w:r w:rsidR="00AA511B">
        <w:rPr>
          <w:rFonts w:ascii="Arial" w:hAnsi="Arial" w:cs="Arial"/>
        </w:rPr>
        <w:t>was</w:t>
      </w:r>
      <w:r w:rsidR="00586754">
        <w:rPr>
          <w:rFonts w:ascii="Arial" w:hAnsi="Arial" w:cs="Arial"/>
        </w:rPr>
        <w:t xml:space="preserve"> </w:t>
      </w:r>
      <w:r w:rsidR="00570F46">
        <w:rPr>
          <w:rFonts w:ascii="Arial" w:hAnsi="Arial" w:cs="Arial"/>
        </w:rPr>
        <w:t xml:space="preserve">some thought expressed that several statements made by Mr </w:t>
      </w:r>
      <w:r w:rsidR="00A4426C">
        <w:rPr>
          <w:rFonts w:ascii="Arial" w:hAnsi="Arial" w:cs="Arial"/>
        </w:rPr>
        <w:t>M</w:t>
      </w:r>
      <w:r w:rsidR="00570F46">
        <w:rPr>
          <w:rFonts w:ascii="Arial" w:hAnsi="Arial" w:cs="Arial"/>
        </w:rPr>
        <w:t xml:space="preserve"> </w:t>
      </w:r>
      <w:r w:rsidR="00A2502B">
        <w:rPr>
          <w:rFonts w:ascii="Arial" w:hAnsi="Arial" w:cs="Arial"/>
        </w:rPr>
        <w:t xml:space="preserve">could be interpreted </w:t>
      </w:r>
      <w:r w:rsidR="00BA1A39">
        <w:rPr>
          <w:rFonts w:ascii="Arial" w:hAnsi="Arial" w:cs="Arial"/>
        </w:rPr>
        <w:t>as indicative</w:t>
      </w:r>
      <w:r w:rsidR="00AA511B">
        <w:rPr>
          <w:rFonts w:ascii="Arial" w:hAnsi="Arial" w:cs="Arial"/>
        </w:rPr>
        <w:t xml:space="preserve"> of </w:t>
      </w:r>
      <w:r w:rsidR="00BA1A39">
        <w:rPr>
          <w:rFonts w:ascii="Arial" w:hAnsi="Arial" w:cs="Arial"/>
        </w:rPr>
        <w:t xml:space="preserve">having a problem with </w:t>
      </w:r>
      <w:proofErr w:type="gramStart"/>
      <w:r w:rsidR="00BA1A39">
        <w:rPr>
          <w:rFonts w:ascii="Arial" w:hAnsi="Arial" w:cs="Arial"/>
        </w:rPr>
        <w:t>gambling.</w:t>
      </w:r>
      <w:proofErr w:type="gramEnd"/>
      <w:r w:rsidR="00BA1A39">
        <w:rPr>
          <w:rFonts w:ascii="Arial" w:hAnsi="Arial" w:cs="Arial"/>
        </w:rPr>
        <w:t xml:space="preserve"> These </w:t>
      </w:r>
      <w:r w:rsidR="00D86129">
        <w:rPr>
          <w:rFonts w:ascii="Arial" w:hAnsi="Arial" w:cs="Arial"/>
        </w:rPr>
        <w:t xml:space="preserve">selected recorded statements made by Mr </w:t>
      </w:r>
      <w:r w:rsidR="00A4426C">
        <w:rPr>
          <w:rFonts w:ascii="Arial" w:hAnsi="Arial" w:cs="Arial"/>
        </w:rPr>
        <w:t>M</w:t>
      </w:r>
      <w:r w:rsidR="00D86129">
        <w:rPr>
          <w:rFonts w:ascii="Arial" w:hAnsi="Arial" w:cs="Arial"/>
        </w:rPr>
        <w:t xml:space="preserve"> </w:t>
      </w:r>
      <w:r w:rsidR="00677346">
        <w:rPr>
          <w:rFonts w:ascii="Arial" w:hAnsi="Arial" w:cs="Arial"/>
        </w:rPr>
        <w:t>(and</w:t>
      </w:r>
      <w:r w:rsidR="00D86129">
        <w:rPr>
          <w:rFonts w:ascii="Arial" w:hAnsi="Arial" w:cs="Arial"/>
        </w:rPr>
        <w:t xml:space="preserve"> not itemised </w:t>
      </w:r>
      <w:r w:rsidR="00AA1120">
        <w:rPr>
          <w:rFonts w:ascii="Arial" w:hAnsi="Arial" w:cs="Arial"/>
        </w:rPr>
        <w:t>here) were put to the bookmaker for comment</w:t>
      </w:r>
      <w:r w:rsidR="00810DF3">
        <w:rPr>
          <w:rFonts w:ascii="Arial" w:hAnsi="Arial" w:cs="Arial"/>
        </w:rPr>
        <w:t xml:space="preserve">. </w:t>
      </w:r>
    </w:p>
    <w:p w14:paraId="7D762CA7" w14:textId="77777777" w:rsidR="000336C7" w:rsidRDefault="000336C7" w:rsidP="000336C7">
      <w:pPr>
        <w:pStyle w:val="ListParagraph"/>
        <w:ind w:left="567"/>
        <w:jc w:val="both"/>
        <w:rPr>
          <w:rFonts w:ascii="Arial" w:hAnsi="Arial" w:cs="Arial"/>
        </w:rPr>
      </w:pPr>
    </w:p>
    <w:p w14:paraId="09A0B859" w14:textId="503A59F0" w:rsidR="001A2A09" w:rsidRPr="00766000" w:rsidRDefault="00677346" w:rsidP="000336C7">
      <w:pPr>
        <w:pStyle w:val="ListParagraph"/>
        <w:numPr>
          <w:ilvl w:val="0"/>
          <w:numId w:val="30"/>
        </w:numPr>
        <w:ind w:left="567" w:hanging="567"/>
        <w:jc w:val="both"/>
        <w:rPr>
          <w:rFonts w:ascii="Arial" w:hAnsi="Arial" w:cs="Arial"/>
        </w:rPr>
      </w:pPr>
      <w:r>
        <w:rPr>
          <w:rFonts w:ascii="Arial" w:hAnsi="Arial" w:cs="Arial"/>
        </w:rPr>
        <w:t xml:space="preserve">In reply and putting each comment in context we are satisfied </w:t>
      </w:r>
      <w:r w:rsidR="00BD6E07">
        <w:rPr>
          <w:rFonts w:ascii="Arial" w:hAnsi="Arial" w:cs="Arial"/>
        </w:rPr>
        <w:t>as urged on us by the bookmaker</w:t>
      </w:r>
      <w:r w:rsidR="004566D1">
        <w:rPr>
          <w:rFonts w:ascii="Arial" w:hAnsi="Arial" w:cs="Arial"/>
        </w:rPr>
        <w:t xml:space="preserve"> </w:t>
      </w:r>
      <w:r w:rsidR="00A02520">
        <w:rPr>
          <w:rFonts w:ascii="Arial" w:hAnsi="Arial" w:cs="Arial"/>
        </w:rPr>
        <w:t xml:space="preserve">that there was a legitimate reason for </w:t>
      </w:r>
      <w:r w:rsidR="00D533C6">
        <w:rPr>
          <w:rFonts w:ascii="Arial" w:hAnsi="Arial" w:cs="Arial"/>
        </w:rPr>
        <w:t>each comment outside it being a</w:t>
      </w:r>
      <w:r w:rsidR="002B43BC">
        <w:rPr>
          <w:rFonts w:ascii="Arial" w:hAnsi="Arial" w:cs="Arial"/>
        </w:rPr>
        <w:t>n</w:t>
      </w:r>
      <w:r w:rsidR="004566D1">
        <w:rPr>
          <w:rFonts w:ascii="Arial" w:hAnsi="Arial" w:cs="Arial"/>
        </w:rPr>
        <w:t>y</w:t>
      </w:r>
      <w:r w:rsidR="002B43BC">
        <w:rPr>
          <w:rFonts w:ascii="Arial" w:hAnsi="Arial" w:cs="Arial"/>
        </w:rPr>
        <w:t xml:space="preserve"> indicator of problem gambling. </w:t>
      </w:r>
      <w:r>
        <w:rPr>
          <w:rFonts w:ascii="Arial" w:hAnsi="Arial" w:cs="Arial"/>
        </w:rPr>
        <w:t xml:space="preserve"> </w:t>
      </w:r>
      <w:r w:rsidR="004566D1">
        <w:rPr>
          <w:rFonts w:ascii="Arial" w:hAnsi="Arial" w:cs="Arial"/>
        </w:rPr>
        <w:t xml:space="preserve">To that </w:t>
      </w:r>
      <w:r w:rsidR="00232C38">
        <w:rPr>
          <w:rFonts w:ascii="Arial" w:hAnsi="Arial" w:cs="Arial"/>
        </w:rPr>
        <w:t xml:space="preserve">end the bookmaker is entitled to the benefit </w:t>
      </w:r>
      <w:r w:rsidR="00E54A17">
        <w:rPr>
          <w:rFonts w:ascii="Arial" w:hAnsi="Arial" w:cs="Arial"/>
        </w:rPr>
        <w:t xml:space="preserve">of its understood reason for such </w:t>
      </w:r>
      <w:r w:rsidR="007C6A86">
        <w:rPr>
          <w:rFonts w:ascii="Arial" w:hAnsi="Arial" w:cs="Arial"/>
        </w:rPr>
        <w:t xml:space="preserve">comments being made and </w:t>
      </w:r>
      <w:r w:rsidR="008E44D7">
        <w:rPr>
          <w:rFonts w:ascii="Arial" w:hAnsi="Arial" w:cs="Arial"/>
        </w:rPr>
        <w:t xml:space="preserve">we </w:t>
      </w:r>
      <w:r w:rsidR="00427D8E">
        <w:rPr>
          <w:rFonts w:ascii="Arial" w:hAnsi="Arial" w:cs="Arial"/>
        </w:rPr>
        <w:t xml:space="preserve">as a </w:t>
      </w:r>
      <w:r w:rsidR="00427D8E">
        <w:rPr>
          <w:rFonts w:ascii="Arial" w:hAnsi="Arial" w:cs="Arial"/>
        </w:rPr>
        <w:lastRenderedPageBreak/>
        <w:t xml:space="preserve">Commission </w:t>
      </w:r>
      <w:r w:rsidR="00FE0979">
        <w:rPr>
          <w:rFonts w:ascii="Arial" w:hAnsi="Arial" w:cs="Arial"/>
        </w:rPr>
        <w:t>should desist from</w:t>
      </w:r>
      <w:r w:rsidR="008E44D7">
        <w:rPr>
          <w:rFonts w:ascii="Arial" w:hAnsi="Arial" w:cs="Arial"/>
        </w:rPr>
        <w:t xml:space="preserve"> </w:t>
      </w:r>
      <w:r w:rsidR="00427D8E">
        <w:rPr>
          <w:rFonts w:ascii="Arial" w:hAnsi="Arial" w:cs="Arial"/>
        </w:rPr>
        <w:t>going behind</w:t>
      </w:r>
      <w:r w:rsidR="008E44D7">
        <w:rPr>
          <w:rFonts w:ascii="Arial" w:hAnsi="Arial" w:cs="Arial"/>
        </w:rPr>
        <w:t xml:space="preserve"> </w:t>
      </w:r>
      <w:r w:rsidR="00427D8E">
        <w:rPr>
          <w:rFonts w:ascii="Arial" w:hAnsi="Arial" w:cs="Arial"/>
        </w:rPr>
        <w:t>such reason with</w:t>
      </w:r>
      <w:r w:rsidR="00380D6D">
        <w:rPr>
          <w:rFonts w:ascii="Arial" w:hAnsi="Arial" w:cs="Arial"/>
        </w:rPr>
        <w:t>out</w:t>
      </w:r>
      <w:r w:rsidR="00427D8E">
        <w:rPr>
          <w:rFonts w:ascii="Arial" w:hAnsi="Arial" w:cs="Arial"/>
        </w:rPr>
        <w:t xml:space="preserve"> evidence </w:t>
      </w:r>
      <w:r w:rsidR="00380D6D">
        <w:rPr>
          <w:rFonts w:ascii="Arial" w:hAnsi="Arial" w:cs="Arial"/>
        </w:rPr>
        <w:t xml:space="preserve">to </w:t>
      </w:r>
      <w:r w:rsidR="00C93A64">
        <w:rPr>
          <w:rFonts w:ascii="Arial" w:hAnsi="Arial" w:cs="Arial"/>
        </w:rPr>
        <w:t>for a contrary view</w:t>
      </w:r>
      <w:r w:rsidR="0091533A">
        <w:rPr>
          <w:rFonts w:ascii="Arial" w:hAnsi="Arial" w:cs="Arial"/>
        </w:rPr>
        <w:t>.</w:t>
      </w:r>
    </w:p>
    <w:p w14:paraId="0F327AEB" w14:textId="77777777" w:rsidR="00803403" w:rsidRPr="008E5F56" w:rsidRDefault="00803403" w:rsidP="00313A54">
      <w:pPr>
        <w:pStyle w:val="Heading2"/>
        <w:spacing w:before="480" w:line="360" w:lineRule="auto"/>
        <w:rPr>
          <w:rFonts w:cs="Arial"/>
        </w:rPr>
      </w:pPr>
      <w:r>
        <w:rPr>
          <w:rFonts w:cs="Arial"/>
        </w:rPr>
        <w:t>Decision</w:t>
      </w:r>
    </w:p>
    <w:p w14:paraId="1EA2555A" w14:textId="457494AE" w:rsidR="005717A0" w:rsidRPr="000336C7" w:rsidRDefault="00F0028A" w:rsidP="000336C7">
      <w:pPr>
        <w:pStyle w:val="ListParagraph"/>
        <w:numPr>
          <w:ilvl w:val="0"/>
          <w:numId w:val="30"/>
        </w:numPr>
        <w:spacing w:after="200"/>
        <w:ind w:left="567" w:hanging="425"/>
        <w:jc w:val="both"/>
        <w:rPr>
          <w:rFonts w:ascii="Arial" w:hAnsi="Arial" w:cs="Arial"/>
        </w:rPr>
      </w:pPr>
      <w:r w:rsidRPr="000336C7">
        <w:rPr>
          <w:rFonts w:ascii="Arial" w:hAnsi="Arial" w:cs="Arial"/>
        </w:rPr>
        <w:t xml:space="preserve">The Commission determines </w:t>
      </w:r>
      <w:r w:rsidR="00666E33" w:rsidRPr="000336C7">
        <w:rPr>
          <w:rFonts w:ascii="Arial" w:hAnsi="Arial" w:cs="Arial"/>
        </w:rPr>
        <w:t>following an investigation</w:t>
      </w:r>
      <w:r w:rsidR="001463AE" w:rsidRPr="000336C7">
        <w:rPr>
          <w:rFonts w:ascii="Arial" w:hAnsi="Arial" w:cs="Arial"/>
        </w:rPr>
        <w:t xml:space="preserve"> into the complaint of Mr </w:t>
      </w:r>
      <w:r w:rsidR="00A4426C">
        <w:rPr>
          <w:rFonts w:ascii="Arial" w:hAnsi="Arial" w:cs="Arial"/>
        </w:rPr>
        <w:t>M</w:t>
      </w:r>
      <w:r w:rsidR="001463AE" w:rsidRPr="000336C7">
        <w:rPr>
          <w:rFonts w:ascii="Arial" w:hAnsi="Arial" w:cs="Arial"/>
        </w:rPr>
        <w:t xml:space="preserve"> </w:t>
      </w:r>
      <w:r w:rsidR="00075549" w:rsidRPr="000336C7">
        <w:rPr>
          <w:rFonts w:ascii="Arial" w:hAnsi="Arial" w:cs="Arial"/>
        </w:rPr>
        <w:t xml:space="preserve">of William Hill and the </w:t>
      </w:r>
      <w:r w:rsidR="00E939BF" w:rsidRPr="000336C7">
        <w:rPr>
          <w:rFonts w:ascii="Arial" w:hAnsi="Arial" w:cs="Arial"/>
        </w:rPr>
        <w:t xml:space="preserve">responses </w:t>
      </w:r>
      <w:r w:rsidR="00666E33" w:rsidRPr="000336C7">
        <w:rPr>
          <w:rFonts w:ascii="Arial" w:hAnsi="Arial" w:cs="Arial"/>
        </w:rPr>
        <w:t xml:space="preserve">given </w:t>
      </w:r>
      <w:r w:rsidR="00E939BF" w:rsidRPr="000336C7">
        <w:rPr>
          <w:rFonts w:ascii="Arial" w:hAnsi="Arial" w:cs="Arial"/>
        </w:rPr>
        <w:t xml:space="preserve">to the enquiries made on investigation </w:t>
      </w:r>
      <w:r w:rsidR="00666E33" w:rsidRPr="000336C7">
        <w:rPr>
          <w:rFonts w:ascii="Arial" w:hAnsi="Arial" w:cs="Arial"/>
        </w:rPr>
        <w:t>around</w:t>
      </w:r>
      <w:r w:rsidR="00E939BF" w:rsidRPr="000336C7">
        <w:rPr>
          <w:rFonts w:ascii="Arial" w:hAnsi="Arial" w:cs="Arial"/>
        </w:rPr>
        <w:t xml:space="preserve"> </w:t>
      </w:r>
      <w:r w:rsidR="00A94DE6" w:rsidRPr="000336C7">
        <w:rPr>
          <w:rFonts w:ascii="Arial" w:hAnsi="Arial" w:cs="Arial"/>
        </w:rPr>
        <w:t xml:space="preserve">whether there was any or sufficient evidence to prevent the reopening of the </w:t>
      </w:r>
      <w:r w:rsidR="00E64943" w:rsidRPr="000336C7">
        <w:rPr>
          <w:rFonts w:ascii="Arial" w:hAnsi="Arial" w:cs="Arial"/>
        </w:rPr>
        <w:t>clients account following closure</w:t>
      </w:r>
      <w:r w:rsidR="00EF035E" w:rsidRPr="000336C7">
        <w:rPr>
          <w:rFonts w:ascii="Arial" w:hAnsi="Arial" w:cs="Arial"/>
        </w:rPr>
        <w:t>s</w:t>
      </w:r>
      <w:r w:rsidR="00705396" w:rsidRPr="000336C7">
        <w:rPr>
          <w:rFonts w:ascii="Arial" w:hAnsi="Arial" w:cs="Arial"/>
        </w:rPr>
        <w:t>,</w:t>
      </w:r>
      <w:r w:rsidR="00666E33" w:rsidRPr="000336C7">
        <w:rPr>
          <w:rFonts w:ascii="Arial" w:hAnsi="Arial" w:cs="Arial"/>
        </w:rPr>
        <w:t xml:space="preserve"> that</w:t>
      </w:r>
      <w:r w:rsidR="00B03245" w:rsidRPr="000336C7">
        <w:rPr>
          <w:rFonts w:ascii="Arial" w:hAnsi="Arial" w:cs="Arial"/>
        </w:rPr>
        <w:t xml:space="preserve"> William Hill were neither directly </w:t>
      </w:r>
      <w:r w:rsidR="000D24BC" w:rsidRPr="000336C7">
        <w:rPr>
          <w:rFonts w:ascii="Arial" w:hAnsi="Arial" w:cs="Arial"/>
        </w:rPr>
        <w:t xml:space="preserve">made </w:t>
      </w:r>
      <w:r w:rsidR="00B03245" w:rsidRPr="000336C7">
        <w:rPr>
          <w:rFonts w:ascii="Arial" w:hAnsi="Arial" w:cs="Arial"/>
        </w:rPr>
        <w:t>aware or by adherence to obli</w:t>
      </w:r>
      <w:r w:rsidR="00ED65B1" w:rsidRPr="000336C7">
        <w:rPr>
          <w:rFonts w:ascii="Arial" w:hAnsi="Arial" w:cs="Arial"/>
        </w:rPr>
        <w:t>gations of the Code of Practise for Responsible on</w:t>
      </w:r>
      <w:r w:rsidR="008520C3" w:rsidRPr="000336C7">
        <w:rPr>
          <w:rFonts w:ascii="Arial" w:hAnsi="Arial" w:cs="Arial"/>
        </w:rPr>
        <w:t xml:space="preserve">line Gambling </w:t>
      </w:r>
      <w:r w:rsidR="009C44BC" w:rsidRPr="000336C7">
        <w:rPr>
          <w:rFonts w:ascii="Arial" w:hAnsi="Arial" w:cs="Arial"/>
        </w:rPr>
        <w:t>on notice from client behaviours around his account dealing and gambling</w:t>
      </w:r>
      <w:r w:rsidR="000D24BC" w:rsidRPr="000336C7">
        <w:rPr>
          <w:rFonts w:ascii="Arial" w:hAnsi="Arial" w:cs="Arial"/>
        </w:rPr>
        <w:t xml:space="preserve"> of any </w:t>
      </w:r>
      <w:r w:rsidR="00E17AFD" w:rsidRPr="000336C7">
        <w:rPr>
          <w:rFonts w:ascii="Arial" w:hAnsi="Arial" w:cs="Arial"/>
        </w:rPr>
        <w:t>problem gambling at the relevant times.</w:t>
      </w:r>
      <w:r w:rsidR="009C44BC" w:rsidRPr="000336C7">
        <w:rPr>
          <w:rFonts w:ascii="Arial" w:hAnsi="Arial" w:cs="Arial"/>
        </w:rPr>
        <w:t xml:space="preserve"> </w:t>
      </w:r>
      <w:r w:rsidR="008520C3" w:rsidRPr="000336C7">
        <w:rPr>
          <w:rFonts w:ascii="Arial" w:hAnsi="Arial" w:cs="Arial"/>
        </w:rPr>
        <w:t xml:space="preserve"> </w:t>
      </w:r>
    </w:p>
    <w:p w14:paraId="54B11837" w14:textId="2E43BDE1" w:rsidR="00803403" w:rsidRPr="001A6328" w:rsidRDefault="005717A0" w:rsidP="000336C7">
      <w:pPr>
        <w:pStyle w:val="ListParagraph"/>
        <w:numPr>
          <w:ilvl w:val="0"/>
          <w:numId w:val="30"/>
        </w:numPr>
        <w:spacing w:after="200"/>
        <w:ind w:left="567" w:hanging="425"/>
        <w:jc w:val="both"/>
        <w:rPr>
          <w:rFonts w:ascii="Arial" w:hAnsi="Arial" w:cs="Arial"/>
        </w:rPr>
      </w:pPr>
      <w:r w:rsidRPr="001A6328">
        <w:rPr>
          <w:rFonts w:ascii="Arial" w:hAnsi="Arial" w:cs="Arial"/>
        </w:rPr>
        <w:t>As such and i</w:t>
      </w:r>
      <w:r w:rsidR="00803403" w:rsidRPr="001A6328">
        <w:rPr>
          <w:rFonts w:ascii="Arial" w:hAnsi="Arial" w:cs="Arial"/>
        </w:rPr>
        <w:t xml:space="preserve">n </w:t>
      </w:r>
      <w:r w:rsidR="001A6328" w:rsidRPr="001A6328">
        <w:rPr>
          <w:rFonts w:ascii="Arial" w:hAnsi="Arial" w:cs="Arial"/>
        </w:rPr>
        <w:t>accordance with Section 85 (4) of the Act, on the basis of information provided in respect to the dispute and for all the reasons set out above, the Commission has determined that William Hill (the bookmaker) had acted in accordance with its Terms and Conditions</w:t>
      </w:r>
      <w:r w:rsidR="002D2D4E" w:rsidRPr="001A6328">
        <w:rPr>
          <w:rFonts w:ascii="Arial" w:hAnsi="Arial" w:cs="Arial"/>
        </w:rPr>
        <w:t>.</w:t>
      </w:r>
    </w:p>
    <w:p w14:paraId="74972975" w14:textId="77777777" w:rsidR="000336C7" w:rsidRDefault="000336C7" w:rsidP="000336C7">
      <w:pPr>
        <w:pStyle w:val="Heading2"/>
        <w:spacing w:before="480" w:line="360" w:lineRule="auto"/>
        <w:rPr>
          <w:rFonts w:cs="Arial"/>
        </w:rPr>
      </w:pPr>
      <w:r>
        <w:rPr>
          <w:rFonts w:cs="Arial"/>
        </w:rPr>
        <w:t>Review of Decision</w:t>
      </w:r>
    </w:p>
    <w:p w14:paraId="661E5FD8" w14:textId="69779B2D" w:rsidR="000336C7" w:rsidRPr="001A6328" w:rsidRDefault="000336C7" w:rsidP="000336C7">
      <w:pPr>
        <w:pStyle w:val="ListParagraph"/>
        <w:numPr>
          <w:ilvl w:val="0"/>
          <w:numId w:val="30"/>
        </w:numPr>
        <w:spacing w:after="200"/>
        <w:ind w:left="567"/>
        <w:jc w:val="both"/>
        <w:rPr>
          <w:rFonts w:ascii="Arial" w:hAnsi="Arial" w:cs="Arial"/>
        </w:rPr>
      </w:pPr>
      <w:r w:rsidRPr="001A6328">
        <w:rPr>
          <w:rFonts w:ascii="Arial" w:hAnsi="Arial" w:cs="Arial"/>
        </w:rPr>
        <w:t>Section 85(6) of the Act pr</w:t>
      </w:r>
      <w:bookmarkStart w:id="0" w:name="_GoBack"/>
      <w:bookmarkEnd w:id="0"/>
      <w:r w:rsidRPr="001A6328">
        <w:rPr>
          <w:rFonts w:ascii="Arial" w:hAnsi="Arial" w:cs="Arial"/>
        </w:rPr>
        <w:t>ovides that a determination by the Commission of a dispute referred to it under subsection (1) shall be final and conclusive as to the matter in dispute.</w:t>
      </w:r>
    </w:p>
    <w:p w14:paraId="4F6C7F41" w14:textId="77777777" w:rsidR="00726862" w:rsidRDefault="00726862" w:rsidP="00726862">
      <w:pPr>
        <w:spacing w:line="240" w:lineRule="atLeast"/>
        <w:ind w:left="-142" w:hanging="426"/>
        <w:jc w:val="both"/>
        <w:rPr>
          <w:rFonts w:ascii="Arial" w:hAnsi="Arial" w:cs="Arial"/>
          <w:b/>
        </w:rPr>
      </w:pPr>
      <w:r>
        <w:rPr>
          <w:rFonts w:ascii="Arial" w:hAnsi="Arial" w:cs="Arial"/>
          <w:b/>
          <w:noProof/>
        </w:rPr>
        <w:drawing>
          <wp:inline distT="0" distB="0" distL="0" distR="0" wp14:anchorId="451347FA" wp14:editId="0FBD0B7A">
            <wp:extent cx="2162985" cy="818633"/>
            <wp:effectExtent l="0" t="0" r="8890" b="635"/>
            <wp:docPr id="1" name="Picture 1" descr="N:\Client Engagement\CLIENT ENGAGEMENT-LNT\Secretariat Team\08. Racing Commission\Decisions\J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Decisions\JM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41" cy="828078"/>
                    </a:xfrm>
                    <a:prstGeom prst="rect">
                      <a:avLst/>
                    </a:prstGeom>
                    <a:noFill/>
                    <a:ln>
                      <a:noFill/>
                    </a:ln>
                  </pic:spPr>
                </pic:pic>
              </a:graphicData>
            </a:graphic>
          </wp:inline>
        </w:drawing>
      </w:r>
    </w:p>
    <w:p w14:paraId="105AC133" w14:textId="77777777" w:rsidR="00726862" w:rsidRPr="001A6328" w:rsidRDefault="00726862" w:rsidP="00726862">
      <w:pPr>
        <w:spacing w:line="240" w:lineRule="atLeast"/>
        <w:ind w:left="426" w:hanging="426"/>
        <w:jc w:val="both"/>
        <w:rPr>
          <w:rFonts w:ascii="Arial" w:hAnsi="Arial" w:cs="Arial"/>
          <w:b/>
        </w:rPr>
      </w:pPr>
      <w:r w:rsidRPr="001A6328">
        <w:rPr>
          <w:rFonts w:ascii="Arial" w:hAnsi="Arial" w:cs="Arial"/>
          <w:b/>
        </w:rPr>
        <w:t>John McBride</w:t>
      </w:r>
    </w:p>
    <w:p w14:paraId="04B27A2D" w14:textId="77777777" w:rsidR="00726862" w:rsidRDefault="00726862" w:rsidP="00726862">
      <w:pPr>
        <w:ind w:left="426" w:hanging="426"/>
        <w:jc w:val="both"/>
        <w:rPr>
          <w:rFonts w:ascii="Arial" w:hAnsi="Arial" w:cs="Arial"/>
        </w:rPr>
      </w:pPr>
      <w:r w:rsidRPr="001A6328">
        <w:rPr>
          <w:rFonts w:ascii="Arial" w:hAnsi="Arial" w:cs="Arial"/>
        </w:rPr>
        <w:t>Chairperson</w:t>
      </w:r>
    </w:p>
    <w:p w14:paraId="4E05D01C" w14:textId="77777777" w:rsidR="00726862" w:rsidRPr="008E5F56" w:rsidRDefault="00726862" w:rsidP="00726862">
      <w:pPr>
        <w:spacing w:line="240" w:lineRule="atLeast"/>
        <w:jc w:val="both"/>
        <w:rPr>
          <w:rFonts w:ascii="Arial" w:hAnsi="Arial" w:cs="Arial"/>
        </w:rPr>
      </w:pPr>
      <w:r>
        <w:rPr>
          <w:rFonts w:ascii="Arial" w:hAnsi="Arial" w:cs="Arial"/>
        </w:rPr>
        <w:t>Racing Commission</w:t>
      </w:r>
    </w:p>
    <w:p w14:paraId="500DB21D" w14:textId="77777777" w:rsidR="00726862" w:rsidRDefault="00726862" w:rsidP="00726862">
      <w:pPr>
        <w:spacing w:line="240" w:lineRule="atLeast"/>
        <w:ind w:left="426" w:hanging="426"/>
        <w:jc w:val="both"/>
        <w:rPr>
          <w:rFonts w:ascii="Arial" w:hAnsi="Arial" w:cs="Arial"/>
        </w:rPr>
      </w:pPr>
    </w:p>
    <w:p w14:paraId="3876EA9D" w14:textId="77777777" w:rsidR="00726862" w:rsidRPr="008E5F56" w:rsidRDefault="00726862" w:rsidP="00726862">
      <w:pPr>
        <w:spacing w:line="240" w:lineRule="atLeast"/>
        <w:ind w:left="426" w:hanging="426"/>
        <w:jc w:val="both"/>
        <w:rPr>
          <w:rFonts w:ascii="Arial" w:hAnsi="Arial" w:cs="Arial"/>
        </w:rPr>
      </w:pPr>
      <w:r>
        <w:rPr>
          <w:rFonts w:ascii="Arial" w:hAnsi="Arial" w:cs="Arial"/>
        </w:rPr>
        <w:t>3 May 2018</w:t>
      </w:r>
    </w:p>
    <w:p w14:paraId="471A1A37" w14:textId="77777777" w:rsidR="00726862" w:rsidRPr="008E5F56" w:rsidRDefault="00726862" w:rsidP="008E5F56">
      <w:pPr>
        <w:spacing w:line="240" w:lineRule="atLeast"/>
        <w:ind w:left="426" w:hanging="426"/>
        <w:jc w:val="both"/>
        <w:rPr>
          <w:rFonts w:ascii="Arial" w:hAnsi="Arial" w:cs="Arial"/>
        </w:rPr>
      </w:pPr>
    </w:p>
    <w:sectPr w:rsidR="00726862"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726862">
          <w:rPr>
            <w:rFonts w:ascii="Arial" w:hAnsi="Arial" w:cs="Arial"/>
            <w:noProof/>
          </w:rPr>
          <w:t>3</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505010"/>
    <w:multiLevelType w:val="hybridMultilevel"/>
    <w:tmpl w:val="7B8ADBCA"/>
    <w:lvl w:ilvl="0" w:tplc="FE0E27A6">
      <w:start w:val="9"/>
      <w:numFmt w:val="decimal"/>
      <w:lvlText w:val="%1."/>
      <w:lvlJc w:val="left"/>
      <w:pPr>
        <w:ind w:left="152" w:hanging="360"/>
      </w:pPr>
      <w:rPr>
        <w:rFonts w:hint="default"/>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2"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56C52"/>
    <w:multiLevelType w:val="hybridMultilevel"/>
    <w:tmpl w:val="7164A102"/>
    <w:lvl w:ilvl="0" w:tplc="0C09000F">
      <w:start w:val="1"/>
      <w:numFmt w:val="decimal"/>
      <w:lvlText w:val="%1."/>
      <w:lvlJc w:val="left"/>
      <w:pPr>
        <w:ind w:left="64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21"/>
  </w:num>
  <w:num w:numId="6">
    <w:abstractNumId w:val="24"/>
  </w:num>
  <w:num w:numId="7">
    <w:abstractNumId w:val="18"/>
  </w:num>
  <w:num w:numId="8">
    <w:abstractNumId w:val="0"/>
  </w:num>
  <w:num w:numId="9">
    <w:abstractNumId w:val="27"/>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5"/>
  </w:num>
  <w:num w:numId="19">
    <w:abstractNumId w:val="20"/>
  </w:num>
  <w:num w:numId="20">
    <w:abstractNumId w:val="23"/>
  </w:num>
  <w:num w:numId="21">
    <w:abstractNumId w:val="9"/>
  </w:num>
  <w:num w:numId="22">
    <w:abstractNumId w:val="29"/>
  </w:num>
  <w:num w:numId="23">
    <w:abstractNumId w:val="28"/>
  </w:num>
  <w:num w:numId="24">
    <w:abstractNumId w:val="26"/>
  </w:num>
  <w:num w:numId="25">
    <w:abstractNumId w:val="15"/>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06FA5"/>
    <w:rsid w:val="00007C71"/>
    <w:rsid w:val="00020858"/>
    <w:rsid w:val="000336C7"/>
    <w:rsid w:val="000347C6"/>
    <w:rsid w:val="00035446"/>
    <w:rsid w:val="00043F15"/>
    <w:rsid w:val="00055A44"/>
    <w:rsid w:val="00060698"/>
    <w:rsid w:val="000629F1"/>
    <w:rsid w:val="0006656F"/>
    <w:rsid w:val="00066D62"/>
    <w:rsid w:val="000716C2"/>
    <w:rsid w:val="00075549"/>
    <w:rsid w:val="00077990"/>
    <w:rsid w:val="000808B9"/>
    <w:rsid w:val="00081F7A"/>
    <w:rsid w:val="00082CE5"/>
    <w:rsid w:val="00091732"/>
    <w:rsid w:val="00091DB4"/>
    <w:rsid w:val="000A06C4"/>
    <w:rsid w:val="000A1D74"/>
    <w:rsid w:val="000A71E5"/>
    <w:rsid w:val="000C720C"/>
    <w:rsid w:val="000D24BC"/>
    <w:rsid w:val="000E1540"/>
    <w:rsid w:val="000F3330"/>
    <w:rsid w:val="00102517"/>
    <w:rsid w:val="001106D6"/>
    <w:rsid w:val="00113EBA"/>
    <w:rsid w:val="0012027A"/>
    <w:rsid w:val="00126EF4"/>
    <w:rsid w:val="0012714B"/>
    <w:rsid w:val="001304C4"/>
    <w:rsid w:val="00140933"/>
    <w:rsid w:val="001444A8"/>
    <w:rsid w:val="001463AE"/>
    <w:rsid w:val="00166C55"/>
    <w:rsid w:val="00180CE5"/>
    <w:rsid w:val="00184F2E"/>
    <w:rsid w:val="00192903"/>
    <w:rsid w:val="001A06B6"/>
    <w:rsid w:val="001A2A09"/>
    <w:rsid w:val="001A6328"/>
    <w:rsid w:val="001A6C6D"/>
    <w:rsid w:val="001C03C0"/>
    <w:rsid w:val="001C4AEB"/>
    <w:rsid w:val="001C519A"/>
    <w:rsid w:val="001D6307"/>
    <w:rsid w:val="001D6966"/>
    <w:rsid w:val="001F335D"/>
    <w:rsid w:val="00203D7E"/>
    <w:rsid w:val="00204481"/>
    <w:rsid w:val="00206E6E"/>
    <w:rsid w:val="00232C38"/>
    <w:rsid w:val="002339C1"/>
    <w:rsid w:val="00240FBD"/>
    <w:rsid w:val="00254409"/>
    <w:rsid w:val="00254D9A"/>
    <w:rsid w:val="00262155"/>
    <w:rsid w:val="00277AE9"/>
    <w:rsid w:val="002A25AA"/>
    <w:rsid w:val="002A298D"/>
    <w:rsid w:val="002A3310"/>
    <w:rsid w:val="002B43BC"/>
    <w:rsid w:val="002B6BBF"/>
    <w:rsid w:val="002C0774"/>
    <w:rsid w:val="002C46C5"/>
    <w:rsid w:val="002C5001"/>
    <w:rsid w:val="002C6BB7"/>
    <w:rsid w:val="002D2D4E"/>
    <w:rsid w:val="002E040B"/>
    <w:rsid w:val="002E6113"/>
    <w:rsid w:val="002F03D5"/>
    <w:rsid w:val="002F0E22"/>
    <w:rsid w:val="002F14AA"/>
    <w:rsid w:val="002F720B"/>
    <w:rsid w:val="003014E8"/>
    <w:rsid w:val="00302003"/>
    <w:rsid w:val="003033C2"/>
    <w:rsid w:val="003077FB"/>
    <w:rsid w:val="00307A62"/>
    <w:rsid w:val="00311798"/>
    <w:rsid w:val="00313A54"/>
    <w:rsid w:val="00320DA3"/>
    <w:rsid w:val="003211C9"/>
    <w:rsid w:val="00324F0F"/>
    <w:rsid w:val="00334303"/>
    <w:rsid w:val="00340E1B"/>
    <w:rsid w:val="00341AC5"/>
    <w:rsid w:val="00343419"/>
    <w:rsid w:val="003502BB"/>
    <w:rsid w:val="00352D6D"/>
    <w:rsid w:val="00355742"/>
    <w:rsid w:val="00357B7A"/>
    <w:rsid w:val="00357C0D"/>
    <w:rsid w:val="00380D6D"/>
    <w:rsid w:val="003820CC"/>
    <w:rsid w:val="00385D6E"/>
    <w:rsid w:val="0039542A"/>
    <w:rsid w:val="003A37FE"/>
    <w:rsid w:val="003A3E83"/>
    <w:rsid w:val="003B030D"/>
    <w:rsid w:val="003B38E2"/>
    <w:rsid w:val="003B3C8B"/>
    <w:rsid w:val="003C2416"/>
    <w:rsid w:val="003C4E27"/>
    <w:rsid w:val="003E4F8E"/>
    <w:rsid w:val="003E507B"/>
    <w:rsid w:val="003F0044"/>
    <w:rsid w:val="003F35EB"/>
    <w:rsid w:val="003F7E8F"/>
    <w:rsid w:val="004028ED"/>
    <w:rsid w:val="00403E6D"/>
    <w:rsid w:val="004124E8"/>
    <w:rsid w:val="004179B0"/>
    <w:rsid w:val="00420CC0"/>
    <w:rsid w:val="00423AFA"/>
    <w:rsid w:val="0042631D"/>
    <w:rsid w:val="00427D8E"/>
    <w:rsid w:val="0043024E"/>
    <w:rsid w:val="00437C94"/>
    <w:rsid w:val="00445AE9"/>
    <w:rsid w:val="00454068"/>
    <w:rsid w:val="004566D1"/>
    <w:rsid w:val="004717FF"/>
    <w:rsid w:val="00476D81"/>
    <w:rsid w:val="00480975"/>
    <w:rsid w:val="00484C32"/>
    <w:rsid w:val="00487F61"/>
    <w:rsid w:val="004946C5"/>
    <w:rsid w:val="004B422E"/>
    <w:rsid w:val="004D373A"/>
    <w:rsid w:val="004F33F5"/>
    <w:rsid w:val="00511172"/>
    <w:rsid w:val="005169CA"/>
    <w:rsid w:val="00517D0F"/>
    <w:rsid w:val="005223B7"/>
    <w:rsid w:val="005256AF"/>
    <w:rsid w:val="00530C3A"/>
    <w:rsid w:val="00532A8E"/>
    <w:rsid w:val="00550AC8"/>
    <w:rsid w:val="005526CA"/>
    <w:rsid w:val="00570F46"/>
    <w:rsid w:val="005717A0"/>
    <w:rsid w:val="00582FA7"/>
    <w:rsid w:val="00586754"/>
    <w:rsid w:val="00596148"/>
    <w:rsid w:val="005A16F0"/>
    <w:rsid w:val="005A5E6A"/>
    <w:rsid w:val="005B3FCE"/>
    <w:rsid w:val="005B731A"/>
    <w:rsid w:val="005C38DC"/>
    <w:rsid w:val="005C403D"/>
    <w:rsid w:val="005D07C7"/>
    <w:rsid w:val="005D116B"/>
    <w:rsid w:val="005D5F2F"/>
    <w:rsid w:val="005F1D75"/>
    <w:rsid w:val="005F2F69"/>
    <w:rsid w:val="005F725E"/>
    <w:rsid w:val="00602989"/>
    <w:rsid w:val="00603CE6"/>
    <w:rsid w:val="00612471"/>
    <w:rsid w:val="00612CD6"/>
    <w:rsid w:val="00614B00"/>
    <w:rsid w:val="00615992"/>
    <w:rsid w:val="00624E09"/>
    <w:rsid w:val="0063050D"/>
    <w:rsid w:val="00633D51"/>
    <w:rsid w:val="00634062"/>
    <w:rsid w:val="0064178A"/>
    <w:rsid w:val="00666E33"/>
    <w:rsid w:val="00677346"/>
    <w:rsid w:val="00682899"/>
    <w:rsid w:val="00682C3C"/>
    <w:rsid w:val="006878D7"/>
    <w:rsid w:val="006A0EA7"/>
    <w:rsid w:val="006A3DEF"/>
    <w:rsid w:val="006A7AED"/>
    <w:rsid w:val="006B19C6"/>
    <w:rsid w:val="006B2630"/>
    <w:rsid w:val="006D06D6"/>
    <w:rsid w:val="006F4DE3"/>
    <w:rsid w:val="007010AC"/>
    <w:rsid w:val="00703B73"/>
    <w:rsid w:val="007046C6"/>
    <w:rsid w:val="00705396"/>
    <w:rsid w:val="00712274"/>
    <w:rsid w:val="00712415"/>
    <w:rsid w:val="00712FC8"/>
    <w:rsid w:val="00720AD8"/>
    <w:rsid w:val="00721878"/>
    <w:rsid w:val="00726862"/>
    <w:rsid w:val="00735AB3"/>
    <w:rsid w:val="00741C28"/>
    <w:rsid w:val="00742D00"/>
    <w:rsid w:val="00745920"/>
    <w:rsid w:val="00746D20"/>
    <w:rsid w:val="007635FA"/>
    <w:rsid w:val="00763830"/>
    <w:rsid w:val="00766000"/>
    <w:rsid w:val="00770B78"/>
    <w:rsid w:val="0078432E"/>
    <w:rsid w:val="00792389"/>
    <w:rsid w:val="007925E6"/>
    <w:rsid w:val="007B0F27"/>
    <w:rsid w:val="007B37BC"/>
    <w:rsid w:val="007C50D5"/>
    <w:rsid w:val="007C6A86"/>
    <w:rsid w:val="007D15A0"/>
    <w:rsid w:val="007E6AE3"/>
    <w:rsid w:val="007E7020"/>
    <w:rsid w:val="00803403"/>
    <w:rsid w:val="00810DF3"/>
    <w:rsid w:val="008132FB"/>
    <w:rsid w:val="00817FA8"/>
    <w:rsid w:val="00821B56"/>
    <w:rsid w:val="00824D04"/>
    <w:rsid w:val="00851D26"/>
    <w:rsid w:val="008520C3"/>
    <w:rsid w:val="00861250"/>
    <w:rsid w:val="008707D3"/>
    <w:rsid w:val="00880C39"/>
    <w:rsid w:val="00892438"/>
    <w:rsid w:val="008968EA"/>
    <w:rsid w:val="008D5E6F"/>
    <w:rsid w:val="008D711D"/>
    <w:rsid w:val="008E1DAA"/>
    <w:rsid w:val="008E3F19"/>
    <w:rsid w:val="008E44D7"/>
    <w:rsid w:val="008E4D7C"/>
    <w:rsid w:val="008E5F56"/>
    <w:rsid w:val="008F3193"/>
    <w:rsid w:val="00903E87"/>
    <w:rsid w:val="00910C06"/>
    <w:rsid w:val="0091533A"/>
    <w:rsid w:val="009203C8"/>
    <w:rsid w:val="00933C41"/>
    <w:rsid w:val="00936509"/>
    <w:rsid w:val="00956916"/>
    <w:rsid w:val="00961A91"/>
    <w:rsid w:val="00965E11"/>
    <w:rsid w:val="00974EEC"/>
    <w:rsid w:val="00977555"/>
    <w:rsid w:val="0098625A"/>
    <w:rsid w:val="00987ABD"/>
    <w:rsid w:val="00990D5A"/>
    <w:rsid w:val="00992F18"/>
    <w:rsid w:val="00993B76"/>
    <w:rsid w:val="009A20E6"/>
    <w:rsid w:val="009A2184"/>
    <w:rsid w:val="009A3D89"/>
    <w:rsid w:val="009A6124"/>
    <w:rsid w:val="009C44BC"/>
    <w:rsid w:val="009E2C01"/>
    <w:rsid w:val="009E7B70"/>
    <w:rsid w:val="00A02520"/>
    <w:rsid w:val="00A07D57"/>
    <w:rsid w:val="00A10C4F"/>
    <w:rsid w:val="00A1543B"/>
    <w:rsid w:val="00A179CF"/>
    <w:rsid w:val="00A206A6"/>
    <w:rsid w:val="00A2502B"/>
    <w:rsid w:val="00A27919"/>
    <w:rsid w:val="00A300E9"/>
    <w:rsid w:val="00A3148D"/>
    <w:rsid w:val="00A33AAB"/>
    <w:rsid w:val="00A40872"/>
    <w:rsid w:val="00A4426C"/>
    <w:rsid w:val="00A467CA"/>
    <w:rsid w:val="00A520B3"/>
    <w:rsid w:val="00A71322"/>
    <w:rsid w:val="00A85362"/>
    <w:rsid w:val="00A86E47"/>
    <w:rsid w:val="00A94982"/>
    <w:rsid w:val="00A94DE6"/>
    <w:rsid w:val="00AA05C2"/>
    <w:rsid w:val="00AA1120"/>
    <w:rsid w:val="00AA19E5"/>
    <w:rsid w:val="00AA1AD2"/>
    <w:rsid w:val="00AA39A6"/>
    <w:rsid w:val="00AA4995"/>
    <w:rsid w:val="00AA511B"/>
    <w:rsid w:val="00AA6A3F"/>
    <w:rsid w:val="00AB0F42"/>
    <w:rsid w:val="00AB4565"/>
    <w:rsid w:val="00AB4D34"/>
    <w:rsid w:val="00AC6516"/>
    <w:rsid w:val="00AD0566"/>
    <w:rsid w:val="00AD7B16"/>
    <w:rsid w:val="00AE3ED6"/>
    <w:rsid w:val="00AF18DC"/>
    <w:rsid w:val="00AF4879"/>
    <w:rsid w:val="00AF58D6"/>
    <w:rsid w:val="00B00073"/>
    <w:rsid w:val="00B02726"/>
    <w:rsid w:val="00B03245"/>
    <w:rsid w:val="00B04326"/>
    <w:rsid w:val="00B30A56"/>
    <w:rsid w:val="00B502C4"/>
    <w:rsid w:val="00B50B06"/>
    <w:rsid w:val="00B60D8B"/>
    <w:rsid w:val="00B7096C"/>
    <w:rsid w:val="00B72251"/>
    <w:rsid w:val="00B760BD"/>
    <w:rsid w:val="00B80A1F"/>
    <w:rsid w:val="00B904B8"/>
    <w:rsid w:val="00B92649"/>
    <w:rsid w:val="00B92758"/>
    <w:rsid w:val="00BA1A39"/>
    <w:rsid w:val="00BA28EE"/>
    <w:rsid w:val="00BB23C0"/>
    <w:rsid w:val="00BC79A2"/>
    <w:rsid w:val="00BD3B4B"/>
    <w:rsid w:val="00BD4C5F"/>
    <w:rsid w:val="00BD67DF"/>
    <w:rsid w:val="00BD6E07"/>
    <w:rsid w:val="00BE3A88"/>
    <w:rsid w:val="00C02779"/>
    <w:rsid w:val="00C20F9D"/>
    <w:rsid w:val="00C25023"/>
    <w:rsid w:val="00C300AF"/>
    <w:rsid w:val="00C32F2B"/>
    <w:rsid w:val="00C440D2"/>
    <w:rsid w:val="00C5025D"/>
    <w:rsid w:val="00C5070C"/>
    <w:rsid w:val="00C524A8"/>
    <w:rsid w:val="00C55F6E"/>
    <w:rsid w:val="00C66435"/>
    <w:rsid w:val="00C735CA"/>
    <w:rsid w:val="00C817B3"/>
    <w:rsid w:val="00C90498"/>
    <w:rsid w:val="00C90BCF"/>
    <w:rsid w:val="00C921AB"/>
    <w:rsid w:val="00C93A64"/>
    <w:rsid w:val="00CA530C"/>
    <w:rsid w:val="00CA53CE"/>
    <w:rsid w:val="00CB1FB5"/>
    <w:rsid w:val="00CB49CF"/>
    <w:rsid w:val="00CC1E53"/>
    <w:rsid w:val="00CC7EC2"/>
    <w:rsid w:val="00CD7CD4"/>
    <w:rsid w:val="00CE6D02"/>
    <w:rsid w:val="00CF2AE7"/>
    <w:rsid w:val="00CF3964"/>
    <w:rsid w:val="00CF6AE3"/>
    <w:rsid w:val="00D01945"/>
    <w:rsid w:val="00D05966"/>
    <w:rsid w:val="00D07B98"/>
    <w:rsid w:val="00D127BB"/>
    <w:rsid w:val="00D1617A"/>
    <w:rsid w:val="00D32948"/>
    <w:rsid w:val="00D52154"/>
    <w:rsid w:val="00D533C6"/>
    <w:rsid w:val="00D54C0A"/>
    <w:rsid w:val="00D76980"/>
    <w:rsid w:val="00D81BCB"/>
    <w:rsid w:val="00D833DC"/>
    <w:rsid w:val="00D86129"/>
    <w:rsid w:val="00D9321A"/>
    <w:rsid w:val="00D9509C"/>
    <w:rsid w:val="00DA37E9"/>
    <w:rsid w:val="00DB4806"/>
    <w:rsid w:val="00DB64C1"/>
    <w:rsid w:val="00DB77E4"/>
    <w:rsid w:val="00DC6365"/>
    <w:rsid w:val="00DE0C6D"/>
    <w:rsid w:val="00DE2AD4"/>
    <w:rsid w:val="00DE44A1"/>
    <w:rsid w:val="00DE58CB"/>
    <w:rsid w:val="00DF26B4"/>
    <w:rsid w:val="00DF5340"/>
    <w:rsid w:val="00E0130B"/>
    <w:rsid w:val="00E023C4"/>
    <w:rsid w:val="00E05510"/>
    <w:rsid w:val="00E05D93"/>
    <w:rsid w:val="00E17AFD"/>
    <w:rsid w:val="00E25447"/>
    <w:rsid w:val="00E27874"/>
    <w:rsid w:val="00E30D0A"/>
    <w:rsid w:val="00E54A17"/>
    <w:rsid w:val="00E64943"/>
    <w:rsid w:val="00E64F46"/>
    <w:rsid w:val="00E7005F"/>
    <w:rsid w:val="00E70BF8"/>
    <w:rsid w:val="00E735FB"/>
    <w:rsid w:val="00E939BF"/>
    <w:rsid w:val="00E94DB1"/>
    <w:rsid w:val="00E95BC9"/>
    <w:rsid w:val="00EA2275"/>
    <w:rsid w:val="00EA5878"/>
    <w:rsid w:val="00EA606F"/>
    <w:rsid w:val="00EA65EF"/>
    <w:rsid w:val="00EB0E4C"/>
    <w:rsid w:val="00EC0D28"/>
    <w:rsid w:val="00EC275D"/>
    <w:rsid w:val="00EC45E9"/>
    <w:rsid w:val="00EC5BB5"/>
    <w:rsid w:val="00ED06D0"/>
    <w:rsid w:val="00ED21E7"/>
    <w:rsid w:val="00ED65B1"/>
    <w:rsid w:val="00ED6AC5"/>
    <w:rsid w:val="00EF035E"/>
    <w:rsid w:val="00EF3278"/>
    <w:rsid w:val="00EF7574"/>
    <w:rsid w:val="00F0028A"/>
    <w:rsid w:val="00F0254E"/>
    <w:rsid w:val="00F03950"/>
    <w:rsid w:val="00F0603C"/>
    <w:rsid w:val="00F06E17"/>
    <w:rsid w:val="00F11069"/>
    <w:rsid w:val="00F217C3"/>
    <w:rsid w:val="00F27918"/>
    <w:rsid w:val="00F3233D"/>
    <w:rsid w:val="00F3300D"/>
    <w:rsid w:val="00F35414"/>
    <w:rsid w:val="00F416AA"/>
    <w:rsid w:val="00F655AB"/>
    <w:rsid w:val="00F74D1D"/>
    <w:rsid w:val="00F914E2"/>
    <w:rsid w:val="00F94AEF"/>
    <w:rsid w:val="00F94C5D"/>
    <w:rsid w:val="00FA095C"/>
    <w:rsid w:val="00FA39C1"/>
    <w:rsid w:val="00FA3B90"/>
    <w:rsid w:val="00FA6DAF"/>
    <w:rsid w:val="00FB7BF2"/>
    <w:rsid w:val="00FC22BE"/>
    <w:rsid w:val="00FC33D6"/>
    <w:rsid w:val="00FC6D0B"/>
    <w:rsid w:val="00FD1314"/>
    <w:rsid w:val="00FD5796"/>
    <w:rsid w:val="00FD5946"/>
    <w:rsid w:val="00FE0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C43F-9DBA-465C-B4A6-08FCD9E9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2018-05-03T04:02:00Z</cp:lastPrinted>
  <dcterms:created xsi:type="dcterms:W3CDTF">2018-05-03T00:50:00Z</dcterms:created>
  <dcterms:modified xsi:type="dcterms:W3CDTF">2018-05-03T04:03:00Z</dcterms:modified>
</cp:coreProperties>
</file>