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61D0E" w14:textId="77777777" w:rsidR="00C040F9" w:rsidRPr="00C31388" w:rsidRDefault="00302765">
      <w:pPr>
        <w:rPr>
          <w:b/>
          <w:lang w:val="en-AU"/>
        </w:rPr>
      </w:pPr>
      <w:bookmarkStart w:id="0" w:name="_GoBack"/>
      <w:bookmarkEnd w:id="0"/>
      <w:r w:rsidRPr="00C31388">
        <w:rPr>
          <w:b/>
          <w:lang w:val="en-AU"/>
        </w:rPr>
        <w:t>IN THE MATTER OF A DISCIPLINARY</w:t>
      </w:r>
    </w:p>
    <w:p w14:paraId="621544C7" w14:textId="77777777" w:rsidR="00302765" w:rsidRPr="00C31388" w:rsidRDefault="00302765">
      <w:pPr>
        <w:rPr>
          <w:b/>
          <w:lang w:val="en-AU"/>
        </w:rPr>
      </w:pPr>
      <w:r w:rsidRPr="00C31388">
        <w:rPr>
          <w:b/>
          <w:lang w:val="en-AU"/>
        </w:rPr>
        <w:t xml:space="preserve">INQUIRY PURSUANT TO THE </w:t>
      </w:r>
    </w:p>
    <w:p w14:paraId="64FC63F4" w14:textId="18F577F4" w:rsidR="00302765" w:rsidRPr="00C31388" w:rsidRDefault="00302765">
      <w:pPr>
        <w:rPr>
          <w:b/>
          <w:lang w:val="en-AU"/>
        </w:rPr>
      </w:pPr>
      <w:r w:rsidRPr="00A70B8F">
        <w:rPr>
          <w:b/>
          <w:i/>
          <w:lang w:val="en-AU"/>
        </w:rPr>
        <w:t>AGENTS LICENSING ACT</w:t>
      </w:r>
      <w:r w:rsidR="00A70B8F" w:rsidRPr="00A70B8F">
        <w:rPr>
          <w:b/>
          <w:i/>
          <w:lang w:val="en-AU"/>
        </w:rPr>
        <w:t xml:space="preserve"> 1979</w:t>
      </w:r>
      <w:r w:rsidR="000D09E1">
        <w:rPr>
          <w:b/>
          <w:lang w:val="en-AU"/>
        </w:rPr>
        <w:t>,</w:t>
      </w:r>
      <w:r w:rsidRPr="00C31388">
        <w:rPr>
          <w:b/>
          <w:lang w:val="en-AU"/>
        </w:rPr>
        <w:t xml:space="preserve"> NT </w:t>
      </w:r>
    </w:p>
    <w:p w14:paraId="4193636E" w14:textId="77777777" w:rsidR="00302765" w:rsidRPr="00C31388" w:rsidRDefault="00302765">
      <w:pPr>
        <w:rPr>
          <w:b/>
          <w:lang w:val="en-AU"/>
        </w:rPr>
      </w:pPr>
    </w:p>
    <w:p w14:paraId="4E5A39FE" w14:textId="77777777" w:rsidR="00302765" w:rsidRDefault="00302765">
      <w:pPr>
        <w:rPr>
          <w:lang w:val="en-AU"/>
        </w:rPr>
      </w:pPr>
    </w:p>
    <w:p w14:paraId="1B87DC03" w14:textId="77777777" w:rsidR="00A70B8F" w:rsidRDefault="00302765">
      <w:pPr>
        <w:rPr>
          <w:b/>
          <w:lang w:val="en-AU"/>
        </w:rPr>
      </w:pPr>
      <w:r w:rsidRPr="00C31388">
        <w:rPr>
          <w:b/>
          <w:lang w:val="en-AU"/>
        </w:rPr>
        <w:t>BETWEEN:</w:t>
      </w:r>
      <w:r w:rsidR="00A70B8F">
        <w:rPr>
          <w:b/>
          <w:lang w:val="en-AU"/>
        </w:rPr>
        <w:tab/>
      </w:r>
      <w:r w:rsidR="00A70B8F">
        <w:rPr>
          <w:b/>
          <w:lang w:val="en-AU"/>
        </w:rPr>
        <w:tab/>
      </w:r>
      <w:r w:rsidR="00A70B8F">
        <w:rPr>
          <w:b/>
          <w:lang w:val="en-AU"/>
        </w:rPr>
        <w:tab/>
      </w:r>
      <w:r w:rsidR="00A70B8F">
        <w:rPr>
          <w:b/>
          <w:lang w:val="en-AU"/>
        </w:rPr>
        <w:tab/>
      </w:r>
      <w:r w:rsidR="00A70B8F">
        <w:rPr>
          <w:b/>
          <w:lang w:val="en-AU"/>
        </w:rPr>
        <w:tab/>
      </w:r>
      <w:r w:rsidRPr="00C31388">
        <w:rPr>
          <w:b/>
          <w:lang w:val="en-AU"/>
        </w:rPr>
        <w:t xml:space="preserve">REGISTRAR OF LAND, BUSINESS AND </w:t>
      </w:r>
    </w:p>
    <w:p w14:paraId="171540DD" w14:textId="778FCDDC" w:rsidR="00302765" w:rsidRPr="00C31388" w:rsidRDefault="00A70B8F">
      <w:pPr>
        <w:rPr>
          <w:b/>
          <w:lang w:val="en-AU"/>
        </w:rPr>
      </w:pPr>
      <w:r>
        <w:rPr>
          <w:b/>
          <w:lang w:val="en-AU"/>
        </w:rPr>
        <w:tab/>
      </w:r>
      <w:r>
        <w:rPr>
          <w:b/>
          <w:lang w:val="en-AU"/>
        </w:rPr>
        <w:tab/>
      </w:r>
      <w:r>
        <w:rPr>
          <w:b/>
          <w:lang w:val="en-AU"/>
        </w:rPr>
        <w:tab/>
      </w:r>
      <w:r>
        <w:rPr>
          <w:b/>
          <w:lang w:val="en-AU"/>
        </w:rPr>
        <w:tab/>
      </w:r>
      <w:r>
        <w:rPr>
          <w:b/>
          <w:lang w:val="en-AU"/>
        </w:rPr>
        <w:tab/>
      </w:r>
      <w:r>
        <w:rPr>
          <w:b/>
          <w:lang w:val="en-AU"/>
        </w:rPr>
        <w:tab/>
      </w:r>
      <w:r w:rsidR="00302765" w:rsidRPr="00C31388">
        <w:rPr>
          <w:b/>
          <w:lang w:val="en-AU"/>
        </w:rPr>
        <w:t>CONVEYANCING AGENTS</w:t>
      </w:r>
    </w:p>
    <w:p w14:paraId="25661330" w14:textId="77777777" w:rsidR="00302765" w:rsidRDefault="00302765">
      <w:pPr>
        <w:rPr>
          <w:lang w:val="en-AU"/>
        </w:rPr>
      </w:pPr>
    </w:p>
    <w:p w14:paraId="57FAD50E" w14:textId="7D6EAE67" w:rsidR="00302765" w:rsidRDefault="00A70B8F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="00302765">
        <w:rPr>
          <w:lang w:val="en-AU"/>
        </w:rPr>
        <w:t>Applicant</w:t>
      </w:r>
    </w:p>
    <w:p w14:paraId="4CCC51E7" w14:textId="77777777" w:rsidR="00302765" w:rsidRDefault="00302765">
      <w:pPr>
        <w:rPr>
          <w:lang w:val="en-AU"/>
        </w:rPr>
      </w:pPr>
    </w:p>
    <w:p w14:paraId="0212773A" w14:textId="25D67270" w:rsidR="00302765" w:rsidRPr="00C31388" w:rsidRDefault="00302765">
      <w:pPr>
        <w:rPr>
          <w:b/>
          <w:lang w:val="en-AU"/>
        </w:rPr>
      </w:pPr>
      <w:r w:rsidRPr="00C31388">
        <w:rPr>
          <w:b/>
          <w:lang w:val="en-AU"/>
        </w:rPr>
        <w:t>AND:</w:t>
      </w:r>
      <w:r w:rsidRPr="00C31388">
        <w:rPr>
          <w:b/>
          <w:lang w:val="en-AU"/>
        </w:rPr>
        <w:tab/>
      </w:r>
      <w:r w:rsidRPr="00C31388">
        <w:rPr>
          <w:b/>
          <w:lang w:val="en-AU"/>
        </w:rPr>
        <w:tab/>
      </w:r>
      <w:r w:rsidRPr="00C31388">
        <w:rPr>
          <w:b/>
          <w:lang w:val="en-AU"/>
        </w:rPr>
        <w:tab/>
      </w:r>
      <w:r w:rsidRPr="00C31388">
        <w:rPr>
          <w:b/>
          <w:lang w:val="en-AU"/>
        </w:rPr>
        <w:tab/>
      </w:r>
      <w:r w:rsidRPr="00C31388">
        <w:rPr>
          <w:b/>
          <w:lang w:val="en-AU"/>
        </w:rPr>
        <w:tab/>
      </w:r>
      <w:r w:rsidRPr="00C31388">
        <w:rPr>
          <w:b/>
          <w:lang w:val="en-AU"/>
        </w:rPr>
        <w:tab/>
        <w:t>LUKE HEMMINGS</w:t>
      </w:r>
    </w:p>
    <w:p w14:paraId="1974A4F2" w14:textId="77777777" w:rsidR="00302765" w:rsidRDefault="00302765">
      <w:pPr>
        <w:rPr>
          <w:lang w:val="en-AU"/>
        </w:rPr>
      </w:pPr>
    </w:p>
    <w:p w14:paraId="2AE88639" w14:textId="6B9CAF9F" w:rsidR="00302765" w:rsidRDefault="00302765">
      <w:pP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Respondent</w:t>
      </w:r>
    </w:p>
    <w:p w14:paraId="1AF114A8" w14:textId="77777777" w:rsidR="00C12C5D" w:rsidRDefault="00C12C5D">
      <w:pPr>
        <w:rPr>
          <w:lang w:val="en-AU"/>
        </w:rPr>
      </w:pPr>
    </w:p>
    <w:p w14:paraId="2DB23358" w14:textId="77777777" w:rsidR="00C12C5D" w:rsidRDefault="00C12C5D">
      <w:pPr>
        <w:rPr>
          <w:lang w:val="en-AU"/>
        </w:rPr>
      </w:pPr>
    </w:p>
    <w:p w14:paraId="2868874B" w14:textId="176D6437" w:rsidR="00C12C5D" w:rsidRDefault="004C3076">
      <w:pPr>
        <w:rPr>
          <w:lang w:val="en-AU"/>
        </w:rPr>
      </w:pPr>
      <w:r w:rsidRPr="00A70B8F">
        <w:rPr>
          <w:lang w:val="en-AU"/>
        </w:rPr>
        <w:t>Date of Hearing:</w:t>
      </w:r>
      <w:r>
        <w:rPr>
          <w:lang w:val="en-AU"/>
        </w:rPr>
        <w:t xml:space="preserve">     </w:t>
      </w:r>
      <w:r w:rsidR="00C12C5D">
        <w:rPr>
          <w:lang w:val="en-AU"/>
        </w:rPr>
        <w:tab/>
      </w:r>
      <w:r w:rsidR="00C12C5D">
        <w:rPr>
          <w:lang w:val="en-AU"/>
        </w:rPr>
        <w:tab/>
      </w:r>
      <w:r w:rsidR="00C12C5D">
        <w:rPr>
          <w:lang w:val="en-AU"/>
        </w:rPr>
        <w:tab/>
      </w:r>
      <w:r w:rsidR="00A70B8F">
        <w:rPr>
          <w:lang w:val="en-AU"/>
        </w:rPr>
        <w:tab/>
      </w:r>
      <w:r w:rsidR="002166EC" w:rsidRPr="00A70B8F">
        <w:rPr>
          <w:b/>
          <w:lang w:val="en-AU"/>
        </w:rPr>
        <w:t>12 February</w:t>
      </w:r>
      <w:r w:rsidR="00A70B8F" w:rsidRPr="00A70B8F">
        <w:rPr>
          <w:b/>
          <w:lang w:val="en-AU"/>
        </w:rPr>
        <w:t xml:space="preserve"> 2019</w:t>
      </w:r>
    </w:p>
    <w:p w14:paraId="3758CE7D" w14:textId="77777777" w:rsidR="00A70B8F" w:rsidRDefault="00A70B8F">
      <w:pPr>
        <w:rPr>
          <w:lang w:val="en-AU"/>
        </w:rPr>
      </w:pPr>
    </w:p>
    <w:p w14:paraId="2178D787" w14:textId="48962DC2" w:rsidR="00C12C5D" w:rsidRDefault="004C3076">
      <w:pPr>
        <w:rPr>
          <w:lang w:val="en-AU"/>
        </w:rPr>
      </w:pPr>
      <w:r>
        <w:rPr>
          <w:lang w:val="en-AU"/>
        </w:rPr>
        <w:t>Chairperson</w:t>
      </w:r>
      <w:r w:rsidR="00C12C5D">
        <w:rPr>
          <w:lang w:val="en-AU"/>
        </w:rPr>
        <w:t xml:space="preserve">: </w:t>
      </w:r>
      <w:r w:rsidR="00C12C5D">
        <w:rPr>
          <w:lang w:val="en-AU"/>
        </w:rPr>
        <w:tab/>
      </w:r>
      <w:r w:rsidR="00C12C5D">
        <w:rPr>
          <w:lang w:val="en-AU"/>
        </w:rPr>
        <w:tab/>
      </w:r>
      <w:r w:rsidR="00734A86">
        <w:rPr>
          <w:lang w:val="en-AU"/>
        </w:rPr>
        <w:tab/>
      </w:r>
      <w:r w:rsidR="00734A86">
        <w:rPr>
          <w:lang w:val="en-AU"/>
        </w:rPr>
        <w:tab/>
      </w:r>
      <w:r>
        <w:rPr>
          <w:lang w:val="en-AU"/>
        </w:rPr>
        <w:tab/>
        <w:t>Mark Thomas</w:t>
      </w:r>
    </w:p>
    <w:p w14:paraId="714E6D6C" w14:textId="28197E67" w:rsidR="004C3076" w:rsidRDefault="004C3076">
      <w:pPr>
        <w:rPr>
          <w:lang w:val="en-AU"/>
        </w:rPr>
      </w:pPr>
      <w:r>
        <w:rPr>
          <w:lang w:val="en-AU"/>
        </w:rPr>
        <w:t>Consumer Representa</w:t>
      </w:r>
      <w:r w:rsidR="00734A86">
        <w:rPr>
          <w:lang w:val="en-AU"/>
        </w:rPr>
        <w:t>tive:</w:t>
      </w:r>
      <w:r w:rsidR="00734A86">
        <w:rPr>
          <w:lang w:val="en-AU"/>
        </w:rPr>
        <w:tab/>
      </w:r>
      <w:r w:rsidR="00734A86">
        <w:rPr>
          <w:lang w:val="en-AU"/>
        </w:rPr>
        <w:tab/>
      </w:r>
      <w:r w:rsidR="00A70B8F">
        <w:rPr>
          <w:lang w:val="en-AU"/>
        </w:rPr>
        <w:tab/>
      </w:r>
      <w:r>
        <w:rPr>
          <w:lang w:val="en-AU"/>
        </w:rPr>
        <w:t>Lea Aitken</w:t>
      </w:r>
    </w:p>
    <w:p w14:paraId="76180C8A" w14:textId="4CB07AD4" w:rsidR="004C3076" w:rsidRDefault="004C3076">
      <w:pPr>
        <w:rPr>
          <w:lang w:val="en-AU"/>
        </w:rPr>
      </w:pPr>
      <w:r>
        <w:rPr>
          <w:lang w:val="en-AU"/>
        </w:rPr>
        <w:t xml:space="preserve">Industry Representative: 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Carol Need</w:t>
      </w:r>
    </w:p>
    <w:p w14:paraId="5FABA7D1" w14:textId="1B4BC868" w:rsidR="004C3076" w:rsidRDefault="004C3076">
      <w:pPr>
        <w:rPr>
          <w:lang w:val="en-AU"/>
        </w:rPr>
      </w:pPr>
      <w:r>
        <w:rPr>
          <w:lang w:val="en-AU"/>
        </w:rPr>
        <w:t>Ind</w:t>
      </w:r>
      <w:r w:rsidR="002166EC">
        <w:rPr>
          <w:lang w:val="en-AU"/>
        </w:rPr>
        <w:t xml:space="preserve">ustry Representative: </w:t>
      </w:r>
      <w:r w:rsidR="002166EC">
        <w:rPr>
          <w:lang w:val="en-AU"/>
        </w:rPr>
        <w:tab/>
      </w:r>
      <w:r w:rsidR="002166EC">
        <w:rPr>
          <w:lang w:val="en-AU"/>
        </w:rPr>
        <w:tab/>
      </w:r>
      <w:r w:rsidR="002166EC">
        <w:rPr>
          <w:lang w:val="en-AU"/>
        </w:rPr>
        <w:tab/>
      </w:r>
      <w:r>
        <w:rPr>
          <w:lang w:val="en-AU"/>
        </w:rPr>
        <w:t>Diane Davis</w:t>
      </w:r>
    </w:p>
    <w:p w14:paraId="7E8B569D" w14:textId="59CC6767" w:rsidR="004C3076" w:rsidRDefault="004C3076">
      <w:pPr>
        <w:rPr>
          <w:lang w:val="en-AU"/>
        </w:rPr>
      </w:pPr>
      <w:r>
        <w:rPr>
          <w:lang w:val="en-AU"/>
        </w:rPr>
        <w:t xml:space="preserve">Departmental Representative: </w:t>
      </w:r>
      <w:r>
        <w:rPr>
          <w:lang w:val="en-AU"/>
        </w:rPr>
        <w:tab/>
      </w:r>
      <w:r>
        <w:rPr>
          <w:lang w:val="en-AU"/>
        </w:rPr>
        <w:tab/>
        <w:t>Robert Bradshaw</w:t>
      </w:r>
    </w:p>
    <w:p w14:paraId="48C7D5A2" w14:textId="77777777" w:rsidR="004C3076" w:rsidRDefault="004C3076">
      <w:pPr>
        <w:rPr>
          <w:lang w:val="en-AU"/>
        </w:rPr>
      </w:pPr>
    </w:p>
    <w:p w14:paraId="10D368C3" w14:textId="16901D09" w:rsidR="004C3076" w:rsidRPr="00A70B8F" w:rsidRDefault="004C3076">
      <w:pPr>
        <w:rPr>
          <w:b/>
          <w:lang w:val="en-AU"/>
        </w:rPr>
      </w:pPr>
      <w:r w:rsidRPr="00A70B8F">
        <w:rPr>
          <w:b/>
          <w:lang w:val="en-AU"/>
        </w:rPr>
        <w:t>Appearances:</w:t>
      </w:r>
    </w:p>
    <w:p w14:paraId="7F1E45AB" w14:textId="77777777" w:rsidR="00A70B8F" w:rsidRDefault="00A70B8F">
      <w:pPr>
        <w:rPr>
          <w:lang w:val="en-AU"/>
        </w:rPr>
      </w:pPr>
    </w:p>
    <w:p w14:paraId="1966C494" w14:textId="35F47AF8" w:rsidR="004C3076" w:rsidRDefault="004C3076">
      <w:pPr>
        <w:rPr>
          <w:lang w:val="en-AU"/>
        </w:rPr>
      </w:pPr>
      <w:r>
        <w:rPr>
          <w:lang w:val="en-AU"/>
        </w:rPr>
        <w:t>Counsel Assisting the Board:</w:t>
      </w:r>
      <w:r>
        <w:rPr>
          <w:lang w:val="en-AU"/>
        </w:rPr>
        <w:tab/>
      </w:r>
      <w:r w:rsidR="00A70B8F">
        <w:rPr>
          <w:lang w:val="en-AU"/>
        </w:rPr>
        <w:tab/>
      </w:r>
      <w:r w:rsidR="00A70B8F">
        <w:rPr>
          <w:lang w:val="en-AU"/>
        </w:rPr>
        <w:tab/>
      </w:r>
      <w:r>
        <w:rPr>
          <w:lang w:val="en-AU"/>
        </w:rPr>
        <w:t>Tass Liveris</w:t>
      </w:r>
    </w:p>
    <w:p w14:paraId="31B6AFBF" w14:textId="768A9564" w:rsidR="004C3076" w:rsidRDefault="004C3076">
      <w:pPr>
        <w:rPr>
          <w:lang w:val="en-AU"/>
        </w:rPr>
      </w:pPr>
    </w:p>
    <w:p w14:paraId="6A98EC01" w14:textId="77777777" w:rsidR="004C3076" w:rsidRDefault="004C3076">
      <w:pPr>
        <w:rPr>
          <w:lang w:val="en-AU"/>
        </w:rPr>
      </w:pPr>
    </w:p>
    <w:p w14:paraId="40ED2627" w14:textId="77777777" w:rsidR="00C12C5D" w:rsidRDefault="00C12C5D">
      <w:pPr>
        <w:rPr>
          <w:lang w:val="en-AU"/>
        </w:rPr>
      </w:pPr>
    </w:p>
    <w:p w14:paraId="35720CED" w14:textId="77777777" w:rsidR="00302765" w:rsidRDefault="00302765">
      <w:pPr>
        <w:rPr>
          <w:lang w:val="en-AU"/>
        </w:rPr>
      </w:pPr>
    </w:p>
    <w:p w14:paraId="7366C03A" w14:textId="77777777" w:rsidR="00302765" w:rsidRDefault="00302765">
      <w:pPr>
        <w:rPr>
          <w:lang w:val="en-AU"/>
        </w:rPr>
      </w:pPr>
    </w:p>
    <w:p w14:paraId="47E972FF" w14:textId="69565F97" w:rsidR="00302765" w:rsidRPr="00C31388" w:rsidRDefault="00302765">
      <w:pPr>
        <w:rPr>
          <w:b/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="00C12C5D" w:rsidRPr="00C31388">
        <w:rPr>
          <w:b/>
          <w:lang w:val="en-AU"/>
        </w:rPr>
        <w:t>STATEMENT OF REASONS FOR DECISION</w:t>
      </w:r>
    </w:p>
    <w:p w14:paraId="49A472A1" w14:textId="77777777" w:rsidR="004733AA" w:rsidRPr="00C31388" w:rsidRDefault="004733AA">
      <w:pPr>
        <w:rPr>
          <w:b/>
          <w:lang w:val="en-AU"/>
        </w:rPr>
      </w:pPr>
    </w:p>
    <w:p w14:paraId="44CE5CAF" w14:textId="77777777" w:rsidR="004733AA" w:rsidRDefault="004733AA">
      <w:pPr>
        <w:rPr>
          <w:lang w:val="en-AU"/>
        </w:rPr>
      </w:pPr>
    </w:p>
    <w:p w14:paraId="135443F3" w14:textId="26DD1C33" w:rsidR="00C9616B" w:rsidRDefault="00F25C7F" w:rsidP="00004C75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t xml:space="preserve">On </w:t>
      </w:r>
      <w:r w:rsidR="00595CF2">
        <w:rPr>
          <w:lang w:val="en-AU"/>
        </w:rPr>
        <w:t>12 February 2019,</w:t>
      </w:r>
      <w:r>
        <w:rPr>
          <w:lang w:val="en-AU"/>
        </w:rPr>
        <w:t xml:space="preserve"> the Agents Licensing Board </w:t>
      </w:r>
      <w:r w:rsidR="00591874">
        <w:rPr>
          <w:lang w:val="en-AU"/>
        </w:rPr>
        <w:t xml:space="preserve">(the Board) </w:t>
      </w:r>
      <w:r>
        <w:rPr>
          <w:lang w:val="en-AU"/>
        </w:rPr>
        <w:t>met to hold a Disciplinary Inquiry into an application</w:t>
      </w:r>
      <w:r w:rsidR="000D39F9">
        <w:rPr>
          <w:lang w:val="en-AU"/>
        </w:rPr>
        <w:t xml:space="preserve"> made by the Regist</w:t>
      </w:r>
      <w:r w:rsidR="000D09E1">
        <w:rPr>
          <w:lang w:val="en-AU"/>
        </w:rPr>
        <w:t>r</w:t>
      </w:r>
      <w:r w:rsidR="000D39F9">
        <w:rPr>
          <w:lang w:val="en-AU"/>
        </w:rPr>
        <w:t>ar of Land, Business and Conveyancing Agents</w:t>
      </w:r>
      <w:r w:rsidR="00A70B8F">
        <w:rPr>
          <w:lang w:val="en-AU"/>
        </w:rPr>
        <w:t xml:space="preserve"> (the Registrar)</w:t>
      </w:r>
      <w:r w:rsidR="000D39F9">
        <w:rPr>
          <w:lang w:val="en-AU"/>
        </w:rPr>
        <w:t>, pursuant to s</w:t>
      </w:r>
      <w:r w:rsidR="00A70B8F">
        <w:rPr>
          <w:lang w:val="en-AU"/>
        </w:rPr>
        <w:t>ection</w:t>
      </w:r>
      <w:r w:rsidR="000D39F9">
        <w:rPr>
          <w:lang w:val="en-AU"/>
        </w:rPr>
        <w:t xml:space="preserve"> 68 (2) of the </w:t>
      </w:r>
      <w:r w:rsidR="000D39F9" w:rsidRPr="00A70B8F">
        <w:rPr>
          <w:i/>
          <w:lang w:val="en-AU"/>
        </w:rPr>
        <w:t xml:space="preserve">Agents Licensing Act </w:t>
      </w:r>
      <w:r w:rsidR="00591874" w:rsidRPr="00A70B8F">
        <w:rPr>
          <w:i/>
          <w:lang w:val="en-AU"/>
        </w:rPr>
        <w:t>1979</w:t>
      </w:r>
      <w:r w:rsidR="00591874">
        <w:rPr>
          <w:lang w:val="en-AU"/>
        </w:rPr>
        <w:t xml:space="preserve"> (the Act) </w:t>
      </w:r>
      <w:r w:rsidR="000D39F9">
        <w:rPr>
          <w:lang w:val="en-AU"/>
        </w:rPr>
        <w:t>for disciplinary action to be taken against licensed real estate agent Luke Hemmings RBL 1097 (the Respondent).</w:t>
      </w:r>
    </w:p>
    <w:p w14:paraId="319E1346" w14:textId="77777777" w:rsidR="00C31388" w:rsidRDefault="00C31388" w:rsidP="00C31388">
      <w:pPr>
        <w:pStyle w:val="ListParagraph"/>
        <w:ind w:left="1080"/>
        <w:jc w:val="both"/>
        <w:rPr>
          <w:lang w:val="en-AU"/>
        </w:rPr>
      </w:pPr>
    </w:p>
    <w:p w14:paraId="70207276" w14:textId="14CB9880" w:rsidR="000D39F9" w:rsidRDefault="000D39F9" w:rsidP="00004C75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t xml:space="preserve">At the conclusion of the Disciplinary </w:t>
      </w:r>
      <w:r w:rsidR="004A7D4D">
        <w:rPr>
          <w:lang w:val="en-AU"/>
        </w:rPr>
        <w:t xml:space="preserve">Inquiry the Board decided that it would revoke the </w:t>
      </w:r>
      <w:r w:rsidR="009218AC">
        <w:rPr>
          <w:lang w:val="en-AU"/>
        </w:rPr>
        <w:t xml:space="preserve">real estate agent </w:t>
      </w:r>
      <w:r w:rsidR="00A70B8F">
        <w:rPr>
          <w:lang w:val="en-AU"/>
        </w:rPr>
        <w:t>licenc</w:t>
      </w:r>
      <w:r w:rsidR="004A7D4D">
        <w:rPr>
          <w:lang w:val="en-AU"/>
        </w:rPr>
        <w:t>e of Mr Hemmings</w:t>
      </w:r>
      <w:r w:rsidR="00D53850">
        <w:rPr>
          <w:lang w:val="en-AU"/>
        </w:rPr>
        <w:t xml:space="preserve"> (RBL 1097)</w:t>
      </w:r>
      <w:r w:rsidR="004A7D4D">
        <w:rPr>
          <w:lang w:val="en-AU"/>
        </w:rPr>
        <w:t>.</w:t>
      </w:r>
    </w:p>
    <w:p w14:paraId="52398765" w14:textId="77777777" w:rsidR="007F63BB" w:rsidRPr="007F63BB" w:rsidRDefault="007F63BB" w:rsidP="007F63BB">
      <w:pPr>
        <w:jc w:val="both"/>
        <w:rPr>
          <w:lang w:val="en-AU"/>
        </w:rPr>
      </w:pPr>
    </w:p>
    <w:p w14:paraId="52D86222" w14:textId="6431B64D" w:rsidR="007F63BB" w:rsidRDefault="007F63BB" w:rsidP="00004C75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t>Mr Hemmings elected not to appear or be represented at the Disc</w:t>
      </w:r>
      <w:r w:rsidR="000D09E1">
        <w:rPr>
          <w:lang w:val="en-AU"/>
        </w:rPr>
        <w:t>i</w:t>
      </w:r>
      <w:r>
        <w:rPr>
          <w:lang w:val="en-AU"/>
        </w:rPr>
        <w:t>plinary Inquiry hearing, but he did make written representat</w:t>
      </w:r>
      <w:r w:rsidR="00A70B8F">
        <w:rPr>
          <w:lang w:val="en-AU"/>
        </w:rPr>
        <w:t>ions dated 28 August 2018 and 8 </w:t>
      </w:r>
      <w:r>
        <w:rPr>
          <w:lang w:val="en-AU"/>
        </w:rPr>
        <w:t>February 2019 (Inquiry Book [hereafter IB] 138-139), and also sent an email dated 8 February 2019 (which included an attachment)</w:t>
      </w:r>
      <w:r w:rsidR="00D53850">
        <w:rPr>
          <w:lang w:val="en-AU"/>
        </w:rPr>
        <w:t xml:space="preserve"> and some other </w:t>
      </w:r>
      <w:r w:rsidR="00D53850">
        <w:rPr>
          <w:lang w:val="en-AU"/>
        </w:rPr>
        <w:lastRenderedPageBreak/>
        <w:t>correspondence, which included a letter dated 31 August 2018 sent by him to the Victorian Business Licensing Authority</w:t>
      </w:r>
      <w:r w:rsidR="00D53850">
        <w:rPr>
          <w:rStyle w:val="FootnoteReference"/>
          <w:lang w:val="en-AU"/>
        </w:rPr>
        <w:footnoteReference w:id="1"/>
      </w:r>
      <w:r>
        <w:rPr>
          <w:lang w:val="en-AU"/>
        </w:rPr>
        <w:t>. The Board</w:t>
      </w:r>
      <w:r w:rsidR="00A70B8F">
        <w:rPr>
          <w:lang w:val="en-AU"/>
        </w:rPr>
        <w:t xml:space="preserve"> proceeded on the basis that Mr </w:t>
      </w:r>
      <w:r>
        <w:rPr>
          <w:lang w:val="en-AU"/>
        </w:rPr>
        <w:t>Hemmings was content for the hearing to proceed in his absence.</w:t>
      </w:r>
    </w:p>
    <w:p w14:paraId="2649E9D3" w14:textId="77777777" w:rsidR="007F63BB" w:rsidRPr="007F63BB" w:rsidRDefault="007F63BB" w:rsidP="007F63BB">
      <w:pPr>
        <w:jc w:val="both"/>
        <w:rPr>
          <w:lang w:val="en-AU"/>
        </w:rPr>
      </w:pPr>
    </w:p>
    <w:p w14:paraId="3DDE17F6" w14:textId="5BD34D6A" w:rsidR="00C31388" w:rsidRDefault="00C31388" w:rsidP="00004C75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t>These are the reasons for the Board’s decision.</w:t>
      </w:r>
    </w:p>
    <w:p w14:paraId="697E8456" w14:textId="77777777" w:rsidR="00556DEB" w:rsidRDefault="00556DEB" w:rsidP="00C31388">
      <w:pPr>
        <w:pStyle w:val="ListParagraph"/>
        <w:ind w:left="1080"/>
        <w:jc w:val="both"/>
        <w:rPr>
          <w:b/>
          <w:lang w:val="en-AU"/>
        </w:rPr>
      </w:pPr>
    </w:p>
    <w:p w14:paraId="3A9E635B" w14:textId="3D33061E" w:rsidR="00C31388" w:rsidRDefault="00556DEB" w:rsidP="00C31388">
      <w:pPr>
        <w:pStyle w:val="ListParagraph"/>
        <w:ind w:left="1080"/>
        <w:jc w:val="both"/>
        <w:rPr>
          <w:b/>
          <w:lang w:val="en-AU"/>
        </w:rPr>
      </w:pPr>
      <w:r>
        <w:rPr>
          <w:b/>
          <w:lang w:val="en-AU"/>
        </w:rPr>
        <w:t>Part A: INTRODUCTION</w:t>
      </w:r>
    </w:p>
    <w:p w14:paraId="53657A78" w14:textId="77777777" w:rsidR="00EB6C3F" w:rsidRDefault="00EB6C3F" w:rsidP="00C31388">
      <w:pPr>
        <w:pStyle w:val="ListParagraph"/>
        <w:ind w:left="1080"/>
        <w:jc w:val="both"/>
        <w:rPr>
          <w:b/>
          <w:lang w:val="en-AU"/>
        </w:rPr>
      </w:pPr>
    </w:p>
    <w:p w14:paraId="47A294ED" w14:textId="4279181A" w:rsidR="00C31388" w:rsidRPr="00C31388" w:rsidRDefault="00C31388" w:rsidP="00C31388">
      <w:pPr>
        <w:pStyle w:val="ListParagraph"/>
        <w:ind w:left="1080"/>
        <w:jc w:val="both"/>
        <w:rPr>
          <w:b/>
          <w:lang w:val="en-AU"/>
        </w:rPr>
      </w:pPr>
      <w:r w:rsidRPr="00C31388">
        <w:rPr>
          <w:b/>
          <w:lang w:val="en-AU"/>
        </w:rPr>
        <w:t>Particulars of Allegations against the Respondent</w:t>
      </w:r>
    </w:p>
    <w:p w14:paraId="0D81AA90" w14:textId="77777777" w:rsidR="00C31388" w:rsidRPr="00C31388" w:rsidRDefault="00C31388" w:rsidP="00C31388">
      <w:pPr>
        <w:pStyle w:val="ListParagraph"/>
        <w:ind w:left="1080"/>
        <w:jc w:val="both"/>
        <w:rPr>
          <w:lang w:val="en-AU"/>
        </w:rPr>
      </w:pPr>
    </w:p>
    <w:p w14:paraId="3BC68961" w14:textId="4E15613F" w:rsidR="004733AA" w:rsidRDefault="009466F5" w:rsidP="00004C75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t xml:space="preserve">The particulars of the allegations are stated by the Registrar at section 2 of the application, which </w:t>
      </w:r>
      <w:r w:rsidR="0019301F">
        <w:rPr>
          <w:lang w:val="en-AU"/>
        </w:rPr>
        <w:t>is specif</w:t>
      </w:r>
      <w:r w:rsidR="00FE7B6A">
        <w:rPr>
          <w:lang w:val="en-AU"/>
        </w:rPr>
        <w:t>i</w:t>
      </w:r>
      <w:r w:rsidR="0019301F">
        <w:rPr>
          <w:lang w:val="en-AU"/>
        </w:rPr>
        <w:t>ed</w:t>
      </w:r>
      <w:r>
        <w:rPr>
          <w:lang w:val="en-AU"/>
        </w:rPr>
        <w:t xml:space="preserve"> at pa</w:t>
      </w:r>
      <w:r w:rsidR="0019301F">
        <w:rPr>
          <w:lang w:val="en-AU"/>
        </w:rPr>
        <w:t>ge</w:t>
      </w:r>
      <w:r>
        <w:rPr>
          <w:lang w:val="en-AU"/>
        </w:rPr>
        <w:t xml:space="preserve"> 2 of the Inquiry Book (</w:t>
      </w:r>
      <w:r w:rsidR="000D09E1">
        <w:rPr>
          <w:lang w:val="en-AU"/>
        </w:rPr>
        <w:t>IB</w:t>
      </w:r>
      <w:r>
        <w:rPr>
          <w:lang w:val="en-AU"/>
        </w:rPr>
        <w:t>). The particulars</w:t>
      </w:r>
      <w:r w:rsidR="00861D94">
        <w:rPr>
          <w:lang w:val="en-AU"/>
        </w:rPr>
        <w:t xml:space="preserve"> were </w:t>
      </w:r>
      <w:r w:rsidR="000D09E1">
        <w:rPr>
          <w:lang w:val="en-AU"/>
        </w:rPr>
        <w:t>restated</w:t>
      </w:r>
      <w:r w:rsidR="00861D94">
        <w:rPr>
          <w:lang w:val="en-AU"/>
        </w:rPr>
        <w:t xml:space="preserve"> in the Chairperson’s letter to Mr Hemmings, dated 4 February 2019 (IB 190-191)</w:t>
      </w:r>
      <w:r w:rsidR="000D09E1">
        <w:rPr>
          <w:lang w:val="en-AU"/>
        </w:rPr>
        <w:t xml:space="preserve"> as follows</w:t>
      </w:r>
      <w:r w:rsidR="00861D94">
        <w:rPr>
          <w:lang w:val="en-AU"/>
        </w:rPr>
        <w:t>:</w:t>
      </w:r>
    </w:p>
    <w:p w14:paraId="40421AD1" w14:textId="77777777" w:rsidR="00861D94" w:rsidRDefault="00861D94" w:rsidP="00861D94">
      <w:pPr>
        <w:pStyle w:val="ListParagraph"/>
        <w:ind w:left="1080"/>
        <w:rPr>
          <w:lang w:val="en-AU"/>
        </w:rPr>
      </w:pPr>
    </w:p>
    <w:p w14:paraId="313FC7E6" w14:textId="226BADD6" w:rsidR="00861D94" w:rsidRDefault="00004C75" w:rsidP="00004C75">
      <w:pPr>
        <w:pStyle w:val="ListParagraph"/>
        <w:numPr>
          <w:ilvl w:val="0"/>
          <w:numId w:val="3"/>
        </w:numPr>
        <w:jc w:val="both"/>
        <w:rPr>
          <w:lang w:val="en-AU"/>
        </w:rPr>
      </w:pPr>
      <w:r>
        <w:rPr>
          <w:lang w:val="en-AU"/>
        </w:rPr>
        <w:t>Did Mr Hemmings make a false statement in his application, dated 28 April 2018, for a real estate and business agent licen</w:t>
      </w:r>
      <w:r w:rsidR="00A70B8F">
        <w:rPr>
          <w:lang w:val="en-AU"/>
        </w:rPr>
        <w:t>c</w:t>
      </w:r>
      <w:r>
        <w:rPr>
          <w:lang w:val="en-AU"/>
        </w:rPr>
        <w:t>e (in the Northern Territory (NT)) wherein the box marked ‘no’ is ticked in response to question 7 of the Disclosures component of the application, which stated: “Do you hold, o</w:t>
      </w:r>
      <w:r w:rsidR="00A70B8F">
        <w:rPr>
          <w:lang w:val="en-AU"/>
        </w:rPr>
        <w:t>r have previously held, a licenc</w:t>
      </w:r>
      <w:r>
        <w:rPr>
          <w:lang w:val="en-AU"/>
        </w:rPr>
        <w:t>e or registration as an agent</w:t>
      </w:r>
      <w:r w:rsidR="000D09E1">
        <w:rPr>
          <w:lang w:val="en-AU"/>
        </w:rPr>
        <w:t>’</w:t>
      </w:r>
      <w:r>
        <w:rPr>
          <w:lang w:val="en-AU"/>
        </w:rPr>
        <w:t>s representative under any corresponding law in any other State or Territor</w:t>
      </w:r>
      <w:r w:rsidR="00A70B8F">
        <w:rPr>
          <w:lang w:val="en-AU"/>
        </w:rPr>
        <w:t>y? If yes, please provide licenc</w:t>
      </w:r>
      <w:r>
        <w:rPr>
          <w:lang w:val="en-AU"/>
        </w:rPr>
        <w:t>e/registration number and State/Territory?”</w:t>
      </w:r>
    </w:p>
    <w:p w14:paraId="3522BEC2" w14:textId="77777777" w:rsidR="000F7C0C" w:rsidRDefault="000F7C0C" w:rsidP="000F7C0C">
      <w:pPr>
        <w:pStyle w:val="ListParagraph"/>
        <w:ind w:left="1440"/>
        <w:jc w:val="both"/>
        <w:rPr>
          <w:lang w:val="en-AU"/>
        </w:rPr>
      </w:pPr>
    </w:p>
    <w:p w14:paraId="10FCF4B7" w14:textId="56457C2E" w:rsidR="000F7C0C" w:rsidRDefault="00004C75" w:rsidP="000F7C0C">
      <w:pPr>
        <w:pStyle w:val="ListParagraph"/>
        <w:numPr>
          <w:ilvl w:val="0"/>
          <w:numId w:val="3"/>
        </w:numPr>
        <w:jc w:val="both"/>
        <w:rPr>
          <w:lang w:val="en-AU"/>
        </w:rPr>
      </w:pPr>
      <w:r>
        <w:rPr>
          <w:lang w:val="en-AU"/>
        </w:rPr>
        <w:t>If Mr Hemmings did make a false statement in respect of his response at question 7 above, does this constitute a false declaration, given that the application is declared to be, inter alia, “true and correct”?</w:t>
      </w:r>
    </w:p>
    <w:p w14:paraId="42B9CDB2" w14:textId="77777777" w:rsidR="000F7C0C" w:rsidRPr="000F7C0C" w:rsidRDefault="000F7C0C" w:rsidP="000F7C0C">
      <w:pPr>
        <w:jc w:val="both"/>
        <w:rPr>
          <w:lang w:val="en-AU"/>
        </w:rPr>
      </w:pPr>
    </w:p>
    <w:p w14:paraId="6E9190D1" w14:textId="62E2EDC8" w:rsidR="00004C75" w:rsidRDefault="00004C75" w:rsidP="00004C75">
      <w:pPr>
        <w:pStyle w:val="ListParagraph"/>
        <w:numPr>
          <w:ilvl w:val="0"/>
          <w:numId w:val="3"/>
        </w:numPr>
        <w:jc w:val="both"/>
        <w:rPr>
          <w:lang w:val="en-AU"/>
        </w:rPr>
      </w:pPr>
      <w:r>
        <w:rPr>
          <w:lang w:val="en-AU"/>
        </w:rPr>
        <w:t>If Mr Hemmings did make a false statement and/or declaration</w:t>
      </w:r>
      <w:r w:rsidR="009D714E">
        <w:rPr>
          <w:lang w:val="en-AU"/>
        </w:rPr>
        <w:t xml:space="preserve"> in his application for a licenc</w:t>
      </w:r>
      <w:r>
        <w:rPr>
          <w:lang w:val="en-AU"/>
        </w:rPr>
        <w:t>e does this constitute a breach of the rules of conduct for agents?</w:t>
      </w:r>
    </w:p>
    <w:p w14:paraId="5B9A8412" w14:textId="77777777" w:rsidR="000F7C0C" w:rsidRPr="000F7C0C" w:rsidRDefault="000F7C0C" w:rsidP="000F7C0C">
      <w:pPr>
        <w:jc w:val="both"/>
        <w:rPr>
          <w:lang w:val="en-AU"/>
        </w:rPr>
      </w:pPr>
    </w:p>
    <w:p w14:paraId="39440739" w14:textId="022173BB" w:rsidR="00004C75" w:rsidRDefault="009D714E" w:rsidP="00004C75">
      <w:pPr>
        <w:pStyle w:val="ListParagraph"/>
        <w:numPr>
          <w:ilvl w:val="0"/>
          <w:numId w:val="3"/>
        </w:numPr>
        <w:jc w:val="both"/>
        <w:rPr>
          <w:lang w:val="en-AU"/>
        </w:rPr>
      </w:pPr>
      <w:r>
        <w:rPr>
          <w:lang w:val="en-AU"/>
        </w:rPr>
        <w:t>Was the NT licenc</w:t>
      </w:r>
      <w:r w:rsidR="00004C75">
        <w:rPr>
          <w:lang w:val="en-AU"/>
        </w:rPr>
        <w:t>e that was granted to Mr Hemmings obtained by means of a misrepresentation or a false or misleading statement?</w:t>
      </w:r>
    </w:p>
    <w:p w14:paraId="17BFCD9F" w14:textId="77777777" w:rsidR="00004C75" w:rsidRDefault="00004C75" w:rsidP="00004C75">
      <w:pPr>
        <w:jc w:val="both"/>
        <w:rPr>
          <w:lang w:val="en-AU"/>
        </w:rPr>
      </w:pPr>
    </w:p>
    <w:p w14:paraId="08B13EEF" w14:textId="1ABA1F20" w:rsidR="00B40462" w:rsidRPr="00B40462" w:rsidRDefault="004A7D4D" w:rsidP="00B40462">
      <w:pPr>
        <w:pStyle w:val="ListParagraph"/>
        <w:ind w:left="1080"/>
        <w:jc w:val="both"/>
        <w:rPr>
          <w:b/>
          <w:lang w:val="en-AU"/>
        </w:rPr>
      </w:pPr>
      <w:r>
        <w:rPr>
          <w:b/>
          <w:lang w:val="en-AU"/>
        </w:rPr>
        <w:t>A k</w:t>
      </w:r>
      <w:r w:rsidR="00B40462" w:rsidRPr="00B40462">
        <w:rPr>
          <w:b/>
          <w:lang w:val="en-AU"/>
        </w:rPr>
        <w:t>ey principle</w:t>
      </w:r>
    </w:p>
    <w:p w14:paraId="12C81AB6" w14:textId="77777777" w:rsidR="00B40462" w:rsidRDefault="00B40462" w:rsidP="00B40462">
      <w:pPr>
        <w:pStyle w:val="ListParagraph"/>
        <w:ind w:left="1080"/>
        <w:jc w:val="both"/>
        <w:rPr>
          <w:lang w:val="en-AU"/>
        </w:rPr>
      </w:pPr>
    </w:p>
    <w:p w14:paraId="579F5DC1" w14:textId="686FFF5A" w:rsidR="00004C75" w:rsidRDefault="000D09E1" w:rsidP="002C7384">
      <w:pPr>
        <w:pStyle w:val="ListParagraph"/>
        <w:numPr>
          <w:ilvl w:val="0"/>
          <w:numId w:val="1"/>
        </w:numPr>
        <w:ind w:left="720"/>
        <w:jc w:val="both"/>
        <w:rPr>
          <w:lang w:val="en-AU"/>
        </w:rPr>
      </w:pPr>
      <w:r w:rsidRPr="000D09E1">
        <w:rPr>
          <w:lang w:val="en-AU"/>
        </w:rPr>
        <w:t>The Board must</w:t>
      </w:r>
      <w:r w:rsidR="00B40462" w:rsidRPr="000D09E1">
        <w:rPr>
          <w:lang w:val="en-AU"/>
        </w:rPr>
        <w:t xml:space="preserve"> examine the matter in accordance with key applicable principles. Of central importance is that in disciplinary matters, an issue needs to be proven to the reasonab</w:t>
      </w:r>
      <w:r w:rsidRPr="000D09E1">
        <w:rPr>
          <w:lang w:val="en-AU"/>
        </w:rPr>
        <w:t>le satisfaction of the decision-</w:t>
      </w:r>
      <w:r w:rsidR="00B40462" w:rsidRPr="000D09E1">
        <w:rPr>
          <w:lang w:val="en-AU"/>
        </w:rPr>
        <w:t xml:space="preserve">making body, having regard to the seriousness of the allegation made, the inherent unlikelihood of an occurrence of a given description (or the inherent improbability of an explanation), or the gravity of the consequences flowing from a particular finding: </w:t>
      </w:r>
      <w:r w:rsidR="00B40462" w:rsidRPr="000D09E1">
        <w:rPr>
          <w:b/>
          <w:lang w:val="en-AU"/>
        </w:rPr>
        <w:t>Briginshaw v Briginshaw</w:t>
      </w:r>
      <w:r>
        <w:rPr>
          <w:rStyle w:val="FootnoteReference"/>
          <w:b/>
          <w:lang w:val="en-AU"/>
        </w:rPr>
        <w:footnoteReference w:id="2"/>
      </w:r>
      <w:r>
        <w:rPr>
          <w:lang w:val="en-AU"/>
        </w:rPr>
        <w:t>.</w:t>
      </w:r>
    </w:p>
    <w:p w14:paraId="6815126B" w14:textId="77777777" w:rsidR="007845A5" w:rsidRDefault="007845A5" w:rsidP="00615D0D">
      <w:pPr>
        <w:pStyle w:val="ListParagraph"/>
        <w:jc w:val="both"/>
        <w:rPr>
          <w:b/>
          <w:lang w:val="en-AU"/>
        </w:rPr>
      </w:pPr>
    </w:p>
    <w:p w14:paraId="4AAA7721" w14:textId="77777777" w:rsidR="00BC0BB1" w:rsidRDefault="00BC0BB1" w:rsidP="00615D0D">
      <w:pPr>
        <w:pStyle w:val="ListParagraph"/>
        <w:jc w:val="both"/>
        <w:rPr>
          <w:b/>
          <w:lang w:val="en-AU"/>
        </w:rPr>
      </w:pPr>
    </w:p>
    <w:p w14:paraId="66152850" w14:textId="6C2EF71F" w:rsidR="00615D0D" w:rsidRDefault="00615D0D" w:rsidP="00615D0D">
      <w:pPr>
        <w:pStyle w:val="ListParagraph"/>
        <w:jc w:val="both"/>
        <w:rPr>
          <w:b/>
          <w:lang w:val="en-AU"/>
        </w:rPr>
      </w:pPr>
      <w:r w:rsidRPr="00615D0D">
        <w:rPr>
          <w:b/>
          <w:lang w:val="en-AU"/>
        </w:rPr>
        <w:t>Part B: THE POWERS OF THE BOARD</w:t>
      </w:r>
    </w:p>
    <w:p w14:paraId="66692D45" w14:textId="77777777" w:rsidR="009D714E" w:rsidRDefault="009D714E" w:rsidP="00615D0D">
      <w:pPr>
        <w:pStyle w:val="ListParagraph"/>
        <w:jc w:val="both"/>
        <w:rPr>
          <w:b/>
          <w:lang w:val="en-AU"/>
        </w:rPr>
      </w:pPr>
    </w:p>
    <w:p w14:paraId="2676EC03" w14:textId="2709D849" w:rsidR="00615D0D" w:rsidRPr="007845A5" w:rsidRDefault="00615D0D" w:rsidP="007845A5">
      <w:pPr>
        <w:pStyle w:val="ListParagraph"/>
        <w:numPr>
          <w:ilvl w:val="0"/>
          <w:numId w:val="1"/>
        </w:numPr>
        <w:jc w:val="both"/>
        <w:rPr>
          <w:lang w:val="en-AU"/>
        </w:rPr>
      </w:pPr>
      <w:r w:rsidRPr="007845A5">
        <w:rPr>
          <w:lang w:val="en-AU"/>
        </w:rPr>
        <w:t>The relevant law regarding Grounds for Disciplinary Action is as follows:</w:t>
      </w:r>
    </w:p>
    <w:p w14:paraId="71133715" w14:textId="2A6F9EED" w:rsidR="00615D0D" w:rsidRPr="00615D0D" w:rsidRDefault="00615D0D" w:rsidP="00615D0D">
      <w:pPr>
        <w:pStyle w:val="ListParagraph"/>
        <w:ind w:left="1080"/>
        <w:jc w:val="both"/>
        <w:rPr>
          <w:lang w:val="en-AU"/>
        </w:rPr>
      </w:pPr>
    </w:p>
    <w:p w14:paraId="56F9F489" w14:textId="4CC41EFC" w:rsidR="00615D0D" w:rsidRPr="00615D0D" w:rsidRDefault="00615D0D" w:rsidP="00615D0D">
      <w:pPr>
        <w:pStyle w:val="ListParagraph"/>
        <w:ind w:left="1080"/>
        <w:jc w:val="both"/>
        <w:rPr>
          <w:i/>
          <w:lang w:val="en-AU"/>
        </w:rPr>
      </w:pPr>
      <w:r w:rsidRPr="00615D0D">
        <w:rPr>
          <w:i/>
          <w:lang w:val="en-AU"/>
        </w:rPr>
        <w:t>Grounds for Disciplinary Action</w:t>
      </w:r>
    </w:p>
    <w:p w14:paraId="07330E9C" w14:textId="77777777" w:rsidR="00615D0D" w:rsidRPr="00615D0D" w:rsidRDefault="00615D0D" w:rsidP="00615D0D">
      <w:pPr>
        <w:pStyle w:val="ListParagraph"/>
        <w:ind w:left="1080"/>
        <w:jc w:val="both"/>
        <w:rPr>
          <w:i/>
          <w:lang w:val="en-AU"/>
        </w:rPr>
      </w:pPr>
    </w:p>
    <w:p w14:paraId="1AE578C0" w14:textId="52BE6DD0" w:rsidR="00615D0D" w:rsidRPr="00615D0D" w:rsidRDefault="00615D0D" w:rsidP="00615D0D">
      <w:pPr>
        <w:pStyle w:val="ListParagraph"/>
        <w:ind w:left="1080"/>
        <w:jc w:val="both"/>
        <w:rPr>
          <w:i/>
          <w:lang w:val="en-AU"/>
        </w:rPr>
      </w:pPr>
      <w:r w:rsidRPr="00615D0D">
        <w:rPr>
          <w:i/>
          <w:lang w:val="en-AU"/>
        </w:rPr>
        <w:t>Section 67 (1) Subject to this Part, the Board may take disciplinary action in accordance with this Part against a licensed agent on one or more of the following grounds:</w:t>
      </w:r>
    </w:p>
    <w:p w14:paraId="1730BE18" w14:textId="77777777" w:rsidR="00615D0D" w:rsidRPr="00615D0D" w:rsidRDefault="00615D0D" w:rsidP="00615D0D">
      <w:pPr>
        <w:pStyle w:val="ListParagraph"/>
        <w:ind w:left="1080"/>
        <w:jc w:val="both"/>
        <w:rPr>
          <w:i/>
          <w:lang w:val="en-AU"/>
        </w:rPr>
      </w:pPr>
    </w:p>
    <w:p w14:paraId="43F969F2" w14:textId="316925AE" w:rsidR="00615D0D" w:rsidRPr="00615D0D" w:rsidRDefault="009D714E" w:rsidP="00615D0D">
      <w:pPr>
        <w:pStyle w:val="ListParagraph"/>
        <w:ind w:left="1440"/>
        <w:jc w:val="both"/>
        <w:rPr>
          <w:i/>
          <w:lang w:val="en-AU"/>
        </w:rPr>
      </w:pPr>
      <w:r>
        <w:rPr>
          <w:i/>
          <w:lang w:val="en-AU"/>
        </w:rPr>
        <w:t>Item a. The licenc</w:t>
      </w:r>
      <w:r w:rsidR="00615D0D" w:rsidRPr="00615D0D">
        <w:rPr>
          <w:i/>
          <w:lang w:val="en-AU"/>
        </w:rPr>
        <w:t>e was obtained by means of misrepresentation a false or misleading statement;</w:t>
      </w:r>
    </w:p>
    <w:p w14:paraId="4F9B3C27" w14:textId="5A8722FF" w:rsidR="00615D0D" w:rsidRPr="00615D0D" w:rsidRDefault="00615D0D" w:rsidP="00615D0D">
      <w:pPr>
        <w:pStyle w:val="ListParagraph"/>
        <w:ind w:left="1440"/>
        <w:jc w:val="both"/>
        <w:rPr>
          <w:i/>
          <w:lang w:val="en-AU"/>
        </w:rPr>
      </w:pPr>
      <w:r w:rsidRPr="00615D0D">
        <w:rPr>
          <w:i/>
          <w:lang w:val="en-AU"/>
        </w:rPr>
        <w:t xml:space="preserve">Item c. The licensed agent has been guilty of a breach of the rules of conduct for agents. </w:t>
      </w:r>
    </w:p>
    <w:p w14:paraId="2B36072F" w14:textId="77777777" w:rsidR="00615D0D" w:rsidRPr="00615D0D" w:rsidRDefault="00615D0D" w:rsidP="00615D0D">
      <w:pPr>
        <w:pStyle w:val="ListParagraph"/>
        <w:ind w:left="1080"/>
        <w:jc w:val="both"/>
        <w:rPr>
          <w:i/>
          <w:lang w:val="en-AU"/>
        </w:rPr>
      </w:pPr>
    </w:p>
    <w:p w14:paraId="33FDABF6" w14:textId="77777777" w:rsidR="007845A5" w:rsidRPr="007845A5" w:rsidRDefault="007845A5" w:rsidP="007845A5">
      <w:pPr>
        <w:pStyle w:val="ListParagraph"/>
        <w:numPr>
          <w:ilvl w:val="0"/>
          <w:numId w:val="1"/>
        </w:numPr>
        <w:jc w:val="both"/>
        <w:rPr>
          <w:i/>
          <w:lang w:val="en-AU"/>
        </w:rPr>
      </w:pPr>
      <w:r w:rsidRPr="007845A5">
        <w:rPr>
          <w:lang w:val="en-AU"/>
        </w:rPr>
        <w:t>The Powers of the Board after Inquiry are specified at section 69 (1) of the Act, which states</w:t>
      </w:r>
      <w:r>
        <w:rPr>
          <w:lang w:val="en-AU"/>
        </w:rPr>
        <w:t xml:space="preserve"> :</w:t>
      </w:r>
    </w:p>
    <w:p w14:paraId="38980721" w14:textId="77777777" w:rsidR="007845A5" w:rsidRDefault="007845A5" w:rsidP="007845A5">
      <w:pPr>
        <w:ind w:left="720"/>
        <w:jc w:val="both"/>
        <w:rPr>
          <w:i/>
          <w:lang w:val="en-AU"/>
        </w:rPr>
      </w:pPr>
    </w:p>
    <w:p w14:paraId="6E87B94C" w14:textId="3B5650E9" w:rsidR="00615D0D" w:rsidRPr="007845A5" w:rsidRDefault="007845A5" w:rsidP="007845A5">
      <w:pPr>
        <w:ind w:left="1080" w:firstLine="60"/>
        <w:jc w:val="both"/>
        <w:rPr>
          <w:i/>
          <w:lang w:val="en-AU"/>
        </w:rPr>
      </w:pPr>
      <w:r w:rsidRPr="007845A5">
        <w:rPr>
          <w:i/>
          <w:lang w:val="en-AU"/>
        </w:rPr>
        <w:t>that at the conclusion of an inquiry conducted pursuant to section 68 (4), the Board is satisfied that it is authorised to take disciplinary action against a licensed agent, the Board may:</w:t>
      </w:r>
    </w:p>
    <w:p w14:paraId="3EA3B96E" w14:textId="77777777" w:rsidR="007845A5" w:rsidRPr="007845A5" w:rsidRDefault="007845A5" w:rsidP="007845A5">
      <w:pPr>
        <w:pStyle w:val="ListParagraph"/>
        <w:ind w:left="1080"/>
        <w:jc w:val="both"/>
        <w:rPr>
          <w:i/>
          <w:lang w:val="en-AU"/>
        </w:rPr>
      </w:pPr>
    </w:p>
    <w:p w14:paraId="65B6D9C0" w14:textId="1B60F824" w:rsidR="007845A5" w:rsidRPr="007845A5" w:rsidRDefault="007845A5" w:rsidP="007845A5">
      <w:pPr>
        <w:pStyle w:val="ListParagraph"/>
        <w:numPr>
          <w:ilvl w:val="0"/>
          <w:numId w:val="5"/>
        </w:numPr>
        <w:jc w:val="both"/>
        <w:rPr>
          <w:i/>
          <w:lang w:val="en-AU"/>
        </w:rPr>
      </w:pPr>
      <w:r w:rsidRPr="007845A5">
        <w:rPr>
          <w:i/>
          <w:lang w:val="en-AU"/>
        </w:rPr>
        <w:t>Reprimand or caution the agent; or</w:t>
      </w:r>
    </w:p>
    <w:p w14:paraId="63003E40" w14:textId="1815ABE2" w:rsidR="007845A5" w:rsidRPr="007845A5" w:rsidRDefault="007845A5" w:rsidP="007845A5">
      <w:pPr>
        <w:pStyle w:val="ListParagraph"/>
        <w:numPr>
          <w:ilvl w:val="0"/>
          <w:numId w:val="5"/>
        </w:numPr>
        <w:jc w:val="both"/>
        <w:rPr>
          <w:i/>
          <w:lang w:val="en-AU"/>
        </w:rPr>
      </w:pPr>
      <w:r w:rsidRPr="007845A5">
        <w:rPr>
          <w:i/>
          <w:lang w:val="en-AU"/>
        </w:rPr>
        <w:t>By notice in writing, impose a fine not exceeding 50 penalty units on the agent; or</w:t>
      </w:r>
    </w:p>
    <w:p w14:paraId="7116F082" w14:textId="089E93EF" w:rsidR="007845A5" w:rsidRPr="007845A5" w:rsidRDefault="007845A5" w:rsidP="007845A5">
      <w:pPr>
        <w:pStyle w:val="ListParagraph"/>
        <w:numPr>
          <w:ilvl w:val="0"/>
          <w:numId w:val="5"/>
        </w:numPr>
        <w:jc w:val="both"/>
        <w:rPr>
          <w:i/>
          <w:lang w:val="en-AU"/>
        </w:rPr>
      </w:pPr>
      <w:r w:rsidRPr="007845A5">
        <w:rPr>
          <w:i/>
          <w:lang w:val="en-AU"/>
        </w:rPr>
        <w:t>By notice in writing, suspend the licen</w:t>
      </w:r>
      <w:r w:rsidR="009D714E">
        <w:rPr>
          <w:i/>
          <w:lang w:val="en-AU"/>
        </w:rPr>
        <w:t>c</w:t>
      </w:r>
      <w:r w:rsidRPr="007845A5">
        <w:rPr>
          <w:i/>
          <w:lang w:val="en-AU"/>
        </w:rPr>
        <w:t>e of the agent until the expiration of the period, or the fulfilment of a condition, specified in the notice; or</w:t>
      </w:r>
    </w:p>
    <w:p w14:paraId="1610FD20" w14:textId="0F2A8FF8" w:rsidR="007845A5" w:rsidRPr="007845A5" w:rsidRDefault="007845A5" w:rsidP="007845A5">
      <w:pPr>
        <w:pStyle w:val="ListParagraph"/>
        <w:numPr>
          <w:ilvl w:val="0"/>
          <w:numId w:val="5"/>
        </w:numPr>
        <w:jc w:val="both"/>
        <w:rPr>
          <w:i/>
          <w:lang w:val="en-AU"/>
        </w:rPr>
      </w:pPr>
      <w:r w:rsidRPr="007845A5">
        <w:rPr>
          <w:i/>
          <w:lang w:val="en-AU"/>
        </w:rPr>
        <w:t xml:space="preserve">By </w:t>
      </w:r>
      <w:r>
        <w:rPr>
          <w:i/>
          <w:lang w:val="en-AU"/>
        </w:rPr>
        <w:t>notice in writing, revoke</w:t>
      </w:r>
      <w:r w:rsidRPr="007845A5">
        <w:rPr>
          <w:i/>
          <w:lang w:val="en-AU"/>
        </w:rPr>
        <w:t xml:space="preserve"> the licence of the agent.</w:t>
      </w:r>
    </w:p>
    <w:p w14:paraId="1486E7D5" w14:textId="77777777" w:rsidR="00797B6C" w:rsidRDefault="00797B6C" w:rsidP="00F30FFB">
      <w:pPr>
        <w:ind w:left="720"/>
        <w:jc w:val="both"/>
        <w:rPr>
          <w:b/>
          <w:lang w:val="en-AU"/>
        </w:rPr>
      </w:pPr>
    </w:p>
    <w:p w14:paraId="2FEB8AC3" w14:textId="77777777" w:rsidR="00BC0BB1" w:rsidRDefault="00BC0BB1" w:rsidP="00F30FFB">
      <w:pPr>
        <w:ind w:left="720"/>
        <w:jc w:val="both"/>
        <w:rPr>
          <w:b/>
          <w:lang w:val="en-AU"/>
        </w:rPr>
      </w:pPr>
    </w:p>
    <w:p w14:paraId="2BF0E9D7" w14:textId="725F3CC0" w:rsidR="00797B6C" w:rsidRDefault="00BC0BB1" w:rsidP="00F30FFB">
      <w:pPr>
        <w:ind w:left="720"/>
        <w:jc w:val="both"/>
        <w:rPr>
          <w:b/>
          <w:lang w:val="en-AU"/>
        </w:rPr>
      </w:pPr>
      <w:r>
        <w:rPr>
          <w:b/>
          <w:lang w:val="en-AU"/>
        </w:rPr>
        <w:t>Part C</w:t>
      </w:r>
      <w:r w:rsidR="00797B6C">
        <w:rPr>
          <w:b/>
          <w:lang w:val="en-AU"/>
        </w:rPr>
        <w:t>: THE CONDUCT OF THE DISCIPLINARY INQUIRY</w:t>
      </w:r>
    </w:p>
    <w:p w14:paraId="4C41CE4D" w14:textId="77777777" w:rsidR="00797B6C" w:rsidRDefault="00797B6C" w:rsidP="00F30FFB">
      <w:pPr>
        <w:ind w:left="720"/>
        <w:jc w:val="both"/>
        <w:rPr>
          <w:b/>
          <w:lang w:val="en-AU"/>
        </w:rPr>
      </w:pPr>
    </w:p>
    <w:p w14:paraId="4707CBE5" w14:textId="05D5A596" w:rsidR="00797B6C" w:rsidRDefault="00797B6C" w:rsidP="00797B6C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t xml:space="preserve">Mr </w:t>
      </w:r>
      <w:r w:rsidR="009D714E">
        <w:rPr>
          <w:lang w:val="en-AU"/>
        </w:rPr>
        <w:t xml:space="preserve">Tass </w:t>
      </w:r>
      <w:r>
        <w:rPr>
          <w:lang w:val="en-AU"/>
        </w:rPr>
        <w:t>Liveris acted as counsel assisting the Board and supplied written submissions to the Board in respect of this matter.</w:t>
      </w:r>
    </w:p>
    <w:p w14:paraId="7A3714AE" w14:textId="77777777" w:rsidR="00BC0BB1" w:rsidRDefault="00BC0BB1" w:rsidP="00BC0BB1">
      <w:pPr>
        <w:pStyle w:val="ListParagraph"/>
        <w:ind w:left="1080"/>
        <w:jc w:val="both"/>
        <w:rPr>
          <w:lang w:val="en-AU"/>
        </w:rPr>
      </w:pPr>
    </w:p>
    <w:p w14:paraId="139431B9" w14:textId="3771C286" w:rsidR="00797B6C" w:rsidRPr="00797B6C" w:rsidRDefault="00797B6C" w:rsidP="00797B6C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t xml:space="preserve">No witnesses were called to give evidence. The Inquiry Book was tendered as well as a limited number of annexures. </w:t>
      </w:r>
      <w:r w:rsidR="00BC0BB1">
        <w:rPr>
          <w:lang w:val="en-AU"/>
        </w:rPr>
        <w:t xml:space="preserve">There was no indication made by Mr Hemmings of any challenge to the admissibility of any material in the Inquiry Book. </w:t>
      </w:r>
      <w:r>
        <w:rPr>
          <w:lang w:val="en-AU"/>
        </w:rPr>
        <w:t>The focus of at</w:t>
      </w:r>
      <w:r w:rsidR="00BC0BB1">
        <w:rPr>
          <w:lang w:val="en-AU"/>
        </w:rPr>
        <w:t>tention in the inquiry was on the Inquiry book.</w:t>
      </w:r>
    </w:p>
    <w:p w14:paraId="6EC9B1D2" w14:textId="77777777" w:rsidR="00A85C69" w:rsidRDefault="00A85C69" w:rsidP="00F30FFB">
      <w:pPr>
        <w:ind w:left="720"/>
        <w:jc w:val="both"/>
        <w:rPr>
          <w:b/>
          <w:lang w:val="en-AU"/>
        </w:rPr>
      </w:pPr>
    </w:p>
    <w:p w14:paraId="36AC22DF" w14:textId="77777777" w:rsidR="00A85C69" w:rsidRDefault="00A85C69" w:rsidP="00F30FFB">
      <w:pPr>
        <w:ind w:left="720"/>
        <w:jc w:val="both"/>
        <w:rPr>
          <w:b/>
          <w:lang w:val="en-AU"/>
        </w:rPr>
      </w:pPr>
    </w:p>
    <w:p w14:paraId="206B83BC" w14:textId="7A555509" w:rsidR="00F30FFB" w:rsidRPr="00556DEB" w:rsidRDefault="00797B6C" w:rsidP="00F30FFB">
      <w:pPr>
        <w:ind w:left="720"/>
        <w:jc w:val="both"/>
        <w:rPr>
          <w:b/>
          <w:lang w:val="en-AU"/>
        </w:rPr>
      </w:pPr>
      <w:r>
        <w:rPr>
          <w:b/>
          <w:lang w:val="en-AU"/>
        </w:rPr>
        <w:t>P</w:t>
      </w:r>
      <w:r w:rsidR="00BC0BB1">
        <w:rPr>
          <w:b/>
          <w:lang w:val="en-AU"/>
        </w:rPr>
        <w:t>art D</w:t>
      </w:r>
      <w:r w:rsidR="00556DEB">
        <w:rPr>
          <w:b/>
          <w:lang w:val="en-AU"/>
        </w:rPr>
        <w:t xml:space="preserve">: </w:t>
      </w:r>
      <w:r w:rsidR="0008137B" w:rsidRPr="00556DEB">
        <w:rPr>
          <w:b/>
          <w:lang w:val="en-AU"/>
        </w:rPr>
        <w:t>MATTERS TO BE INQUIRED INTO</w:t>
      </w:r>
    </w:p>
    <w:p w14:paraId="16789B77" w14:textId="61C68BBB" w:rsidR="00797B6C" w:rsidRDefault="00797B6C" w:rsidP="00F30FFB">
      <w:pPr>
        <w:ind w:left="720"/>
        <w:jc w:val="both"/>
        <w:rPr>
          <w:b/>
          <w:lang w:val="en-AU"/>
        </w:rPr>
      </w:pPr>
    </w:p>
    <w:p w14:paraId="28184FB0" w14:textId="17BA68A0" w:rsidR="0008137B" w:rsidRDefault="00DC35A7" w:rsidP="00F30FFB">
      <w:pPr>
        <w:ind w:left="720"/>
        <w:jc w:val="both"/>
        <w:rPr>
          <w:lang w:val="en-AU"/>
        </w:rPr>
      </w:pPr>
      <w:r>
        <w:rPr>
          <w:b/>
          <w:lang w:val="en-AU"/>
        </w:rPr>
        <w:t xml:space="preserve">Matter </w:t>
      </w:r>
      <w:r w:rsidR="0008137B" w:rsidRPr="00556DEB">
        <w:rPr>
          <w:b/>
          <w:lang w:val="en-AU"/>
        </w:rPr>
        <w:t xml:space="preserve">1: Did Mr Hemmings make a false statement in </w:t>
      </w:r>
      <w:r w:rsidR="000D09E1">
        <w:rPr>
          <w:b/>
          <w:lang w:val="en-AU"/>
        </w:rPr>
        <w:t xml:space="preserve">his application for a real estate and business agent </w:t>
      </w:r>
      <w:r w:rsidR="009D714E">
        <w:rPr>
          <w:b/>
          <w:lang w:val="en-AU"/>
        </w:rPr>
        <w:t>licenc</w:t>
      </w:r>
      <w:r w:rsidR="000D09E1">
        <w:rPr>
          <w:b/>
          <w:lang w:val="en-AU"/>
        </w:rPr>
        <w:t>e?</w:t>
      </w:r>
    </w:p>
    <w:p w14:paraId="02DBA3C5" w14:textId="77777777" w:rsidR="00556DEB" w:rsidRDefault="00556DEB" w:rsidP="00F30FFB">
      <w:pPr>
        <w:ind w:left="720"/>
        <w:jc w:val="both"/>
        <w:rPr>
          <w:lang w:val="en-AU"/>
        </w:rPr>
      </w:pPr>
    </w:p>
    <w:p w14:paraId="6047228A" w14:textId="750CBF47" w:rsidR="003631A6" w:rsidRDefault="00556DEB" w:rsidP="00556DEB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lastRenderedPageBreak/>
        <w:t>Mr Hemm</w:t>
      </w:r>
      <w:r w:rsidR="003631A6">
        <w:rPr>
          <w:lang w:val="en-AU"/>
        </w:rPr>
        <w:t>ings filled out and submitted a computer-generated</w:t>
      </w:r>
      <w:r>
        <w:rPr>
          <w:lang w:val="en-AU"/>
        </w:rPr>
        <w:t xml:space="preserve"> </w:t>
      </w:r>
      <w:r w:rsidR="00137699">
        <w:rPr>
          <w:lang w:val="en-AU"/>
        </w:rPr>
        <w:t xml:space="preserve">online </w:t>
      </w:r>
      <w:r>
        <w:rPr>
          <w:lang w:val="en-AU"/>
        </w:rPr>
        <w:t>applicat</w:t>
      </w:r>
      <w:r w:rsidR="003631A6">
        <w:rPr>
          <w:lang w:val="en-AU"/>
        </w:rPr>
        <w:t xml:space="preserve">ion </w:t>
      </w:r>
      <w:r w:rsidR="009218AC">
        <w:rPr>
          <w:lang w:val="en-AU"/>
        </w:rPr>
        <w:t>for a real estate and business agent licen</w:t>
      </w:r>
      <w:r w:rsidR="009D714E">
        <w:rPr>
          <w:lang w:val="en-AU"/>
        </w:rPr>
        <w:t>c</w:t>
      </w:r>
      <w:r w:rsidR="009218AC">
        <w:rPr>
          <w:lang w:val="en-AU"/>
        </w:rPr>
        <w:t xml:space="preserve">e </w:t>
      </w:r>
      <w:r w:rsidR="003631A6">
        <w:rPr>
          <w:lang w:val="en-AU"/>
        </w:rPr>
        <w:t xml:space="preserve">on a form headed “Property Agent: Application for a </w:t>
      </w:r>
      <w:r>
        <w:rPr>
          <w:lang w:val="en-AU"/>
        </w:rPr>
        <w:t>licen</w:t>
      </w:r>
      <w:r w:rsidR="009D714E">
        <w:rPr>
          <w:lang w:val="en-AU"/>
        </w:rPr>
        <w:t>c</w:t>
      </w:r>
      <w:r>
        <w:rPr>
          <w:lang w:val="en-AU"/>
        </w:rPr>
        <w:t>e as an individual/sole trader</w:t>
      </w:r>
      <w:r w:rsidR="003631A6">
        <w:rPr>
          <w:lang w:val="en-AU"/>
        </w:rPr>
        <w:t xml:space="preserve">”. The application is dated </w:t>
      </w:r>
      <w:r>
        <w:rPr>
          <w:lang w:val="en-AU"/>
        </w:rPr>
        <w:t>28/4/2018</w:t>
      </w:r>
      <w:r w:rsidR="003631A6">
        <w:rPr>
          <w:rStyle w:val="FootnoteReference"/>
          <w:lang w:val="en-AU"/>
        </w:rPr>
        <w:footnoteReference w:id="3"/>
      </w:r>
      <w:r>
        <w:rPr>
          <w:lang w:val="en-AU"/>
        </w:rPr>
        <w:t>. A cop</w:t>
      </w:r>
      <w:r w:rsidR="003631A6">
        <w:rPr>
          <w:lang w:val="en-AU"/>
        </w:rPr>
        <w:t xml:space="preserve">y of the application is at IB </w:t>
      </w:r>
      <w:r w:rsidR="008017B2">
        <w:rPr>
          <w:lang w:val="en-AU"/>
        </w:rPr>
        <w:t>6-</w:t>
      </w:r>
      <w:r w:rsidR="003631A6">
        <w:rPr>
          <w:lang w:val="en-AU"/>
        </w:rPr>
        <w:t>8.</w:t>
      </w:r>
    </w:p>
    <w:p w14:paraId="74BF1BD2" w14:textId="77777777" w:rsidR="006008F9" w:rsidRDefault="006008F9" w:rsidP="006008F9">
      <w:pPr>
        <w:pStyle w:val="ListParagraph"/>
        <w:ind w:left="1080"/>
        <w:jc w:val="both"/>
        <w:rPr>
          <w:lang w:val="en-AU"/>
        </w:rPr>
      </w:pPr>
    </w:p>
    <w:p w14:paraId="3F267ECE" w14:textId="38BD0A97" w:rsidR="00556DEB" w:rsidRDefault="00556DEB" w:rsidP="00556DEB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t>The relevant part of the application in re</w:t>
      </w:r>
      <w:r w:rsidR="003631A6">
        <w:rPr>
          <w:lang w:val="en-AU"/>
        </w:rPr>
        <w:t>spect to the issue raised here</w:t>
      </w:r>
      <w:r>
        <w:rPr>
          <w:lang w:val="en-AU"/>
        </w:rPr>
        <w:t xml:space="preserve"> is under the sub-heading marked “disclosures” at IB 7. There</w:t>
      </w:r>
      <w:r w:rsidR="00137699">
        <w:rPr>
          <w:lang w:val="en-AU"/>
        </w:rPr>
        <w:t>,</w:t>
      </w:r>
      <w:r>
        <w:rPr>
          <w:lang w:val="en-AU"/>
        </w:rPr>
        <w:t xml:space="preserve"> the following questions appear:</w:t>
      </w:r>
    </w:p>
    <w:p w14:paraId="062A20A4" w14:textId="77777777" w:rsidR="003631A6" w:rsidRDefault="003631A6" w:rsidP="003631A6">
      <w:pPr>
        <w:pStyle w:val="ListParagraph"/>
        <w:ind w:left="1080"/>
        <w:jc w:val="both"/>
        <w:rPr>
          <w:lang w:val="en-AU"/>
        </w:rPr>
      </w:pPr>
    </w:p>
    <w:p w14:paraId="4B526A21" w14:textId="0AAFDDEB" w:rsidR="00556DEB" w:rsidRPr="00556DEB" w:rsidRDefault="009D714E" w:rsidP="00556DEB">
      <w:pPr>
        <w:ind w:left="1080"/>
        <w:jc w:val="both"/>
        <w:rPr>
          <w:i/>
          <w:sz w:val="22"/>
          <w:szCs w:val="22"/>
          <w:lang w:val="en-AU"/>
        </w:rPr>
      </w:pPr>
      <w:r w:rsidRPr="00460B0E">
        <w:rPr>
          <w:i/>
          <w:sz w:val="22"/>
          <w:szCs w:val="22"/>
          <w:lang w:val="en-AU"/>
        </w:rPr>
        <w:t>Q</w:t>
      </w:r>
      <w:r w:rsidR="004E7497" w:rsidRPr="00460B0E">
        <w:rPr>
          <w:i/>
          <w:sz w:val="22"/>
          <w:szCs w:val="22"/>
          <w:lang w:val="en-AU"/>
        </w:rPr>
        <w:t>6</w:t>
      </w:r>
      <w:r w:rsidRPr="00460B0E">
        <w:rPr>
          <w:i/>
          <w:sz w:val="22"/>
          <w:szCs w:val="22"/>
          <w:lang w:val="en-AU"/>
        </w:rPr>
        <w:t>: “</w:t>
      </w:r>
      <w:r w:rsidR="00556DEB" w:rsidRPr="00460B0E">
        <w:rPr>
          <w:i/>
          <w:sz w:val="22"/>
          <w:szCs w:val="22"/>
          <w:lang w:val="en-AU"/>
        </w:rPr>
        <w:t>Do you hold, or have you prev</w:t>
      </w:r>
      <w:r w:rsidRPr="00460B0E">
        <w:rPr>
          <w:i/>
          <w:sz w:val="22"/>
          <w:szCs w:val="22"/>
          <w:lang w:val="en-AU"/>
        </w:rPr>
        <w:t>iously held, a licenc</w:t>
      </w:r>
      <w:r w:rsidR="00556DEB" w:rsidRPr="00460B0E">
        <w:rPr>
          <w:i/>
          <w:sz w:val="22"/>
          <w:szCs w:val="22"/>
          <w:lang w:val="en-AU"/>
        </w:rPr>
        <w:t xml:space="preserve">e or registration as an agent’s representative under </w:t>
      </w:r>
      <w:r w:rsidR="004E7497" w:rsidRPr="00460B0E">
        <w:rPr>
          <w:i/>
          <w:sz w:val="22"/>
          <w:szCs w:val="22"/>
          <w:lang w:val="en-AU"/>
        </w:rPr>
        <w:t>the Agents Licensing Act</w:t>
      </w:r>
      <w:r w:rsidRPr="00460B0E">
        <w:rPr>
          <w:i/>
          <w:sz w:val="22"/>
          <w:szCs w:val="22"/>
          <w:lang w:val="en-AU"/>
        </w:rPr>
        <w:t>? If yes, please provide licenc</w:t>
      </w:r>
      <w:r w:rsidR="00556DEB" w:rsidRPr="00460B0E">
        <w:rPr>
          <w:i/>
          <w:sz w:val="22"/>
          <w:szCs w:val="22"/>
          <w:lang w:val="en-AU"/>
        </w:rPr>
        <w:t>e/registra</w:t>
      </w:r>
      <w:r w:rsidR="008017B2" w:rsidRPr="00460B0E">
        <w:rPr>
          <w:i/>
          <w:sz w:val="22"/>
          <w:szCs w:val="22"/>
          <w:lang w:val="en-AU"/>
        </w:rPr>
        <w:t>tion number</w:t>
      </w:r>
      <w:r w:rsidR="00556DEB" w:rsidRPr="00460B0E">
        <w:rPr>
          <w:i/>
          <w:sz w:val="22"/>
          <w:szCs w:val="22"/>
          <w:lang w:val="en-AU"/>
        </w:rPr>
        <w:t>”</w:t>
      </w:r>
    </w:p>
    <w:p w14:paraId="639C57F2" w14:textId="4970A42D" w:rsidR="00556DEB" w:rsidRPr="00556DEB" w:rsidRDefault="00556DEB" w:rsidP="00556DEB">
      <w:pPr>
        <w:ind w:left="1080"/>
        <w:jc w:val="both"/>
        <w:rPr>
          <w:i/>
          <w:sz w:val="22"/>
          <w:szCs w:val="22"/>
          <w:lang w:val="en-AU"/>
        </w:rPr>
      </w:pPr>
    </w:p>
    <w:p w14:paraId="015735EE" w14:textId="2E81C209" w:rsidR="00556DEB" w:rsidRDefault="00556DEB" w:rsidP="00556DEB">
      <w:pPr>
        <w:ind w:left="108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Two boxes are listed- either ‘yes’ or ‘no’. </w:t>
      </w:r>
      <w:r w:rsidRPr="00556DEB">
        <w:rPr>
          <w:sz w:val="22"/>
          <w:szCs w:val="22"/>
          <w:lang w:val="en-AU"/>
        </w:rPr>
        <w:t>The ‘no’ box is “ticked”</w:t>
      </w:r>
      <w:r>
        <w:rPr>
          <w:rStyle w:val="FootnoteReference"/>
          <w:sz w:val="22"/>
          <w:szCs w:val="22"/>
          <w:lang w:val="en-AU"/>
        </w:rPr>
        <w:footnoteReference w:id="4"/>
      </w:r>
      <w:r w:rsidRPr="00556DEB">
        <w:rPr>
          <w:sz w:val="22"/>
          <w:szCs w:val="22"/>
          <w:lang w:val="en-AU"/>
        </w:rPr>
        <w:t>.</w:t>
      </w:r>
    </w:p>
    <w:p w14:paraId="199B4946" w14:textId="77777777" w:rsidR="00556DEB" w:rsidRDefault="00556DEB" w:rsidP="00556DEB">
      <w:pPr>
        <w:ind w:left="1080"/>
        <w:jc w:val="both"/>
        <w:rPr>
          <w:sz w:val="22"/>
          <w:szCs w:val="22"/>
          <w:lang w:val="en-AU"/>
        </w:rPr>
      </w:pPr>
    </w:p>
    <w:p w14:paraId="7556BE98" w14:textId="3D96798A" w:rsidR="00556DEB" w:rsidRPr="003631A6" w:rsidRDefault="004E7497" w:rsidP="003631A6">
      <w:pPr>
        <w:pStyle w:val="ListParagraph"/>
        <w:numPr>
          <w:ilvl w:val="0"/>
          <w:numId w:val="1"/>
        </w:numPr>
        <w:jc w:val="both"/>
        <w:rPr>
          <w:i/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>Q7</w:t>
      </w:r>
      <w:r w:rsidR="00556DEB" w:rsidRPr="003631A6">
        <w:rPr>
          <w:i/>
          <w:sz w:val="22"/>
          <w:szCs w:val="22"/>
          <w:lang w:val="en-AU"/>
        </w:rPr>
        <w:t>: “Do you hold, o</w:t>
      </w:r>
      <w:r w:rsidR="00455DBD">
        <w:rPr>
          <w:i/>
          <w:sz w:val="22"/>
          <w:szCs w:val="22"/>
          <w:lang w:val="en-AU"/>
        </w:rPr>
        <w:t>r have previously held, a licenc</w:t>
      </w:r>
      <w:r w:rsidR="00556DEB" w:rsidRPr="003631A6">
        <w:rPr>
          <w:i/>
          <w:sz w:val="22"/>
          <w:szCs w:val="22"/>
          <w:lang w:val="en-AU"/>
        </w:rPr>
        <w:t>e or registration as an agent’s representative under any corresponding law in any other State or Territor</w:t>
      </w:r>
      <w:r w:rsidR="00455DBD">
        <w:rPr>
          <w:i/>
          <w:sz w:val="22"/>
          <w:szCs w:val="22"/>
          <w:lang w:val="en-AU"/>
        </w:rPr>
        <w:t>y? If yes, please provide licenc</w:t>
      </w:r>
      <w:r w:rsidR="00556DEB" w:rsidRPr="003631A6">
        <w:rPr>
          <w:i/>
          <w:sz w:val="22"/>
          <w:szCs w:val="22"/>
          <w:lang w:val="en-AU"/>
        </w:rPr>
        <w:t>e/registra</w:t>
      </w:r>
      <w:r w:rsidR="008017B2">
        <w:rPr>
          <w:i/>
          <w:sz w:val="22"/>
          <w:szCs w:val="22"/>
          <w:lang w:val="en-AU"/>
        </w:rPr>
        <w:t>tion number and State/Territory”</w:t>
      </w:r>
    </w:p>
    <w:p w14:paraId="2ED8B187" w14:textId="77777777" w:rsidR="00556DEB" w:rsidRPr="003631A6" w:rsidRDefault="00556DEB" w:rsidP="00556DEB">
      <w:pPr>
        <w:ind w:left="1080"/>
        <w:jc w:val="both"/>
        <w:rPr>
          <w:i/>
          <w:sz w:val="22"/>
          <w:szCs w:val="22"/>
          <w:lang w:val="en-AU"/>
        </w:rPr>
      </w:pPr>
    </w:p>
    <w:p w14:paraId="2FCD1A5B" w14:textId="3E4C78C5" w:rsidR="00556DEB" w:rsidRDefault="00556DEB" w:rsidP="00556DEB">
      <w:pPr>
        <w:ind w:left="108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Again, two boxes are listed, either ‘yes’ or ‘no’. The ‘no’ box is ticked.</w:t>
      </w:r>
    </w:p>
    <w:p w14:paraId="1932DAD8" w14:textId="77777777" w:rsidR="003631A6" w:rsidRDefault="003631A6" w:rsidP="00556DEB">
      <w:pPr>
        <w:ind w:left="1080"/>
        <w:jc w:val="both"/>
        <w:rPr>
          <w:sz w:val="22"/>
          <w:szCs w:val="22"/>
          <w:lang w:val="en-AU"/>
        </w:rPr>
      </w:pPr>
    </w:p>
    <w:p w14:paraId="14C77ACB" w14:textId="14A11FBE" w:rsidR="003669E8" w:rsidRDefault="003631A6" w:rsidP="003631A6">
      <w:pPr>
        <w:pStyle w:val="ListParagraph"/>
        <w:numPr>
          <w:ilvl w:val="0"/>
          <w:numId w:val="1"/>
        </w:numPr>
        <w:jc w:val="both"/>
        <w:rPr>
          <w:lang w:val="en-AU"/>
        </w:rPr>
      </w:pPr>
      <w:r w:rsidRPr="006974C7">
        <w:rPr>
          <w:lang w:val="en-AU"/>
        </w:rPr>
        <w:t>Q</w:t>
      </w:r>
      <w:r w:rsidR="0076523A" w:rsidRPr="006974C7">
        <w:rPr>
          <w:lang w:val="en-AU"/>
        </w:rPr>
        <w:t xml:space="preserve">uestion and answer 7 is the key </w:t>
      </w:r>
      <w:r w:rsidR="00D76BEB" w:rsidRPr="006974C7">
        <w:rPr>
          <w:lang w:val="en-AU"/>
        </w:rPr>
        <w:t>matter</w:t>
      </w:r>
      <w:r w:rsidRPr="006974C7">
        <w:rPr>
          <w:lang w:val="en-AU"/>
        </w:rPr>
        <w:t xml:space="preserve"> here. This is because </w:t>
      </w:r>
      <w:r w:rsidR="00D76BEB" w:rsidRPr="006974C7">
        <w:rPr>
          <w:lang w:val="en-AU"/>
        </w:rPr>
        <w:t>on 16 March 2018 Mr Hemmings had his South Australian Land Agen</w:t>
      </w:r>
      <w:r w:rsidR="00455DBD">
        <w:rPr>
          <w:lang w:val="en-AU"/>
        </w:rPr>
        <w:t>t licenc</w:t>
      </w:r>
      <w:r w:rsidR="00137699">
        <w:rPr>
          <w:lang w:val="en-AU"/>
        </w:rPr>
        <w:t>e cancelled</w:t>
      </w:r>
      <w:r w:rsidR="00D76BEB" w:rsidRPr="006974C7">
        <w:rPr>
          <w:lang w:val="en-AU"/>
        </w:rPr>
        <w:t xml:space="preserve"> </w:t>
      </w:r>
      <w:r w:rsidR="00A57A36" w:rsidRPr="006974C7">
        <w:rPr>
          <w:lang w:val="en-AU"/>
        </w:rPr>
        <w:t xml:space="preserve">(IB 185-186). </w:t>
      </w:r>
    </w:p>
    <w:p w14:paraId="040607C8" w14:textId="77777777" w:rsidR="006974C7" w:rsidRPr="006974C7" w:rsidRDefault="006974C7" w:rsidP="006974C7">
      <w:pPr>
        <w:ind w:left="720"/>
        <w:jc w:val="both"/>
        <w:rPr>
          <w:lang w:val="en-AU"/>
        </w:rPr>
      </w:pPr>
    </w:p>
    <w:p w14:paraId="2F776155" w14:textId="7FD37AE9" w:rsidR="00137699" w:rsidRDefault="00A57A36" w:rsidP="00137699">
      <w:pPr>
        <w:pStyle w:val="ListParagraph"/>
        <w:numPr>
          <w:ilvl w:val="0"/>
          <w:numId w:val="1"/>
        </w:numPr>
        <w:jc w:val="both"/>
        <w:rPr>
          <w:lang w:val="en-AU"/>
        </w:rPr>
      </w:pPr>
      <w:r w:rsidRPr="006974C7">
        <w:rPr>
          <w:lang w:val="en-AU"/>
        </w:rPr>
        <w:t xml:space="preserve">The background to his South Australian </w:t>
      </w:r>
      <w:r w:rsidR="003B12CB">
        <w:rPr>
          <w:lang w:val="en-AU"/>
        </w:rPr>
        <w:t xml:space="preserve">(SA) </w:t>
      </w:r>
      <w:r w:rsidRPr="006974C7">
        <w:rPr>
          <w:lang w:val="en-AU"/>
        </w:rPr>
        <w:t>licen</w:t>
      </w:r>
      <w:r w:rsidR="003B12CB">
        <w:rPr>
          <w:lang w:val="en-AU"/>
        </w:rPr>
        <w:t>c</w:t>
      </w:r>
      <w:r w:rsidRPr="006974C7">
        <w:rPr>
          <w:lang w:val="en-AU"/>
        </w:rPr>
        <w:t xml:space="preserve">e is </w:t>
      </w:r>
      <w:r w:rsidR="003669E8" w:rsidRPr="006974C7">
        <w:rPr>
          <w:lang w:val="en-AU"/>
        </w:rPr>
        <w:t>as follows: he</w:t>
      </w:r>
      <w:r w:rsidRPr="006974C7">
        <w:rPr>
          <w:lang w:val="en-AU"/>
        </w:rPr>
        <w:t xml:space="preserve"> originally submitted an online application for a R</w:t>
      </w:r>
      <w:r w:rsidR="003B12CB">
        <w:rPr>
          <w:lang w:val="en-AU"/>
        </w:rPr>
        <w:t>egistered Land Agent (RLA) licenc</w:t>
      </w:r>
      <w:r w:rsidRPr="006974C7">
        <w:rPr>
          <w:lang w:val="en-AU"/>
        </w:rPr>
        <w:t>e on</w:t>
      </w:r>
      <w:r w:rsidR="003B12CB">
        <w:rPr>
          <w:lang w:val="en-AU"/>
        </w:rPr>
        <w:t xml:space="preserve"> 5 </w:t>
      </w:r>
      <w:r w:rsidRPr="006974C7">
        <w:rPr>
          <w:lang w:val="en-AU"/>
        </w:rPr>
        <w:t xml:space="preserve">October 2015. He was </w:t>
      </w:r>
      <w:r w:rsidR="00595CF2" w:rsidRPr="006974C7">
        <w:rPr>
          <w:lang w:val="en-AU"/>
        </w:rPr>
        <w:t>granted a</w:t>
      </w:r>
      <w:r w:rsidRPr="006974C7">
        <w:rPr>
          <w:lang w:val="en-AU"/>
        </w:rPr>
        <w:t xml:space="preserve"> RLA licen</w:t>
      </w:r>
      <w:r w:rsidR="005F7CBC">
        <w:rPr>
          <w:lang w:val="en-AU"/>
        </w:rPr>
        <w:t>c</w:t>
      </w:r>
      <w:r w:rsidRPr="006974C7">
        <w:rPr>
          <w:lang w:val="en-AU"/>
        </w:rPr>
        <w:t>e on 26 October 2015. This licen</w:t>
      </w:r>
      <w:r w:rsidR="003B12CB">
        <w:rPr>
          <w:lang w:val="en-AU"/>
        </w:rPr>
        <w:t>c</w:t>
      </w:r>
      <w:r w:rsidRPr="006974C7">
        <w:rPr>
          <w:lang w:val="en-AU"/>
        </w:rPr>
        <w:t xml:space="preserve">e was then surrendered on 23 </w:t>
      </w:r>
      <w:r w:rsidR="003669E8" w:rsidRPr="006974C7">
        <w:rPr>
          <w:lang w:val="en-AU"/>
        </w:rPr>
        <w:t>December 2016 (RLA 269708</w:t>
      </w:r>
      <w:r w:rsidRPr="006974C7">
        <w:rPr>
          <w:lang w:val="en-AU"/>
        </w:rPr>
        <w:t xml:space="preserve">). Mr </w:t>
      </w:r>
      <w:r w:rsidR="00595CF2" w:rsidRPr="006974C7">
        <w:rPr>
          <w:lang w:val="en-AU"/>
        </w:rPr>
        <w:t>Hemmings submitted</w:t>
      </w:r>
      <w:r w:rsidRPr="006974C7">
        <w:rPr>
          <w:lang w:val="en-AU"/>
        </w:rPr>
        <w:t xml:space="preserve"> a second online RLA application, which was granted on 30 December 2016 (RLA 278 282)</w:t>
      </w:r>
      <w:r w:rsidR="003B12CB">
        <w:rPr>
          <w:lang w:val="en-AU"/>
        </w:rPr>
        <w:t>. This licenc</w:t>
      </w:r>
      <w:r w:rsidR="003669E8" w:rsidRPr="006974C7">
        <w:rPr>
          <w:lang w:val="en-AU"/>
        </w:rPr>
        <w:t>e was renewed online on 21 December 2017.</w:t>
      </w:r>
      <w:r w:rsidR="003669E8" w:rsidRPr="006974C7">
        <w:rPr>
          <w:rStyle w:val="FootnoteReference"/>
          <w:lang w:val="en-AU"/>
        </w:rPr>
        <w:footnoteReference w:id="5"/>
      </w:r>
      <w:r w:rsidR="003669E8" w:rsidRPr="00137699">
        <w:rPr>
          <w:lang w:val="en-AU"/>
        </w:rPr>
        <w:t xml:space="preserve"> </w:t>
      </w:r>
    </w:p>
    <w:p w14:paraId="05B40FA8" w14:textId="77777777" w:rsidR="00137699" w:rsidRPr="00137699" w:rsidRDefault="00137699" w:rsidP="00137699">
      <w:pPr>
        <w:jc w:val="both"/>
        <w:rPr>
          <w:lang w:val="en-AU"/>
        </w:rPr>
      </w:pPr>
    </w:p>
    <w:p w14:paraId="17A39B1D" w14:textId="5DA3F203" w:rsidR="003669E8" w:rsidRPr="00137699" w:rsidRDefault="003669E8" w:rsidP="00137699">
      <w:pPr>
        <w:pStyle w:val="ListParagraph"/>
        <w:numPr>
          <w:ilvl w:val="0"/>
          <w:numId w:val="1"/>
        </w:numPr>
        <w:jc w:val="both"/>
        <w:rPr>
          <w:lang w:val="en-AU"/>
        </w:rPr>
      </w:pPr>
      <w:r w:rsidRPr="00137699">
        <w:rPr>
          <w:lang w:val="en-AU"/>
        </w:rPr>
        <w:t xml:space="preserve">Mr Hemmings’s response in the NT application at question 7 contained a matter that </w:t>
      </w:r>
      <w:r w:rsidR="00137699">
        <w:rPr>
          <w:lang w:val="en-AU"/>
        </w:rPr>
        <w:t xml:space="preserve">was incorrect, namely that contrary to his response, he had </w:t>
      </w:r>
      <w:r w:rsidRPr="00137699">
        <w:rPr>
          <w:lang w:val="en-AU"/>
        </w:rPr>
        <w:t xml:space="preserve">previously held a </w:t>
      </w:r>
      <w:r w:rsidR="003B12CB">
        <w:rPr>
          <w:lang w:val="en-AU"/>
        </w:rPr>
        <w:t>licenc</w:t>
      </w:r>
      <w:r w:rsidRPr="00137699">
        <w:rPr>
          <w:lang w:val="en-AU"/>
        </w:rPr>
        <w:t>e as an agent’s representative under a corresponding law in a</w:t>
      </w:r>
      <w:r w:rsidR="003B12CB">
        <w:rPr>
          <w:lang w:val="en-AU"/>
        </w:rPr>
        <w:t>nother State. His licenc</w:t>
      </w:r>
      <w:r w:rsidR="00725888" w:rsidRPr="00137699">
        <w:rPr>
          <w:lang w:val="en-AU"/>
        </w:rPr>
        <w:t>e as a Registered Land Agent in SA constituted holdi</w:t>
      </w:r>
      <w:r w:rsidR="003B12CB">
        <w:rPr>
          <w:lang w:val="en-AU"/>
        </w:rPr>
        <w:t>ng a licenc</w:t>
      </w:r>
      <w:r w:rsidR="00725888" w:rsidRPr="00137699">
        <w:rPr>
          <w:lang w:val="en-AU"/>
        </w:rPr>
        <w:t>e or registration as an agent’s repr</w:t>
      </w:r>
      <w:r w:rsidR="008017B2">
        <w:rPr>
          <w:lang w:val="en-AU"/>
        </w:rPr>
        <w:t>esentative under a</w:t>
      </w:r>
      <w:r w:rsidR="00725888" w:rsidRPr="00137699">
        <w:rPr>
          <w:lang w:val="en-AU"/>
        </w:rPr>
        <w:t xml:space="preserve"> law</w:t>
      </w:r>
      <w:r w:rsidR="008017B2">
        <w:rPr>
          <w:lang w:val="en-AU"/>
        </w:rPr>
        <w:t xml:space="preserve"> corresponding</w:t>
      </w:r>
      <w:r w:rsidR="00725888" w:rsidRPr="00137699">
        <w:rPr>
          <w:lang w:val="en-AU"/>
        </w:rPr>
        <w:t xml:space="preserve"> to the Act.</w:t>
      </w:r>
    </w:p>
    <w:p w14:paraId="24581CA5" w14:textId="77777777" w:rsidR="006974C7" w:rsidRPr="006974C7" w:rsidRDefault="006974C7" w:rsidP="006974C7">
      <w:pPr>
        <w:pStyle w:val="ListParagraph"/>
        <w:ind w:left="1080"/>
        <w:jc w:val="both"/>
        <w:rPr>
          <w:lang w:val="en-AU"/>
        </w:rPr>
      </w:pPr>
    </w:p>
    <w:p w14:paraId="6EC4813E" w14:textId="7724F890" w:rsidR="003669E8" w:rsidRPr="006974C7" w:rsidRDefault="006974C7" w:rsidP="003631A6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t xml:space="preserve">On 16 March 2018, </w:t>
      </w:r>
      <w:r w:rsidR="003669E8" w:rsidRPr="006974C7">
        <w:rPr>
          <w:lang w:val="en-AU"/>
        </w:rPr>
        <w:t>Mr Hemmings was sent a comprehensive letter from the Commissioner of Consumer and Business Affairs</w:t>
      </w:r>
      <w:r w:rsidRPr="006974C7">
        <w:rPr>
          <w:lang w:val="en-AU"/>
        </w:rPr>
        <w:t xml:space="preserve"> (CBS)</w:t>
      </w:r>
      <w:r w:rsidR="003669E8" w:rsidRPr="006974C7">
        <w:rPr>
          <w:lang w:val="en-AU"/>
        </w:rPr>
        <w:t xml:space="preserve"> of SA</w:t>
      </w:r>
      <w:r>
        <w:rPr>
          <w:lang w:val="en-AU"/>
        </w:rPr>
        <w:t>.</w:t>
      </w:r>
      <w:r w:rsidR="003669E8" w:rsidRPr="006974C7">
        <w:rPr>
          <w:rStyle w:val="FootnoteReference"/>
          <w:lang w:val="en-AU"/>
        </w:rPr>
        <w:footnoteReference w:id="6"/>
      </w:r>
      <w:r w:rsidR="003669E8" w:rsidRPr="006974C7">
        <w:rPr>
          <w:lang w:val="en-AU"/>
        </w:rPr>
        <w:t xml:space="preserve">  He was also sent a letter from the NT Registrar</w:t>
      </w:r>
      <w:r w:rsidR="00137699">
        <w:rPr>
          <w:lang w:val="en-AU"/>
        </w:rPr>
        <w:t>,</w:t>
      </w:r>
      <w:r w:rsidR="008017B2">
        <w:rPr>
          <w:lang w:val="en-AU"/>
        </w:rPr>
        <w:t xml:space="preserve"> </w:t>
      </w:r>
      <w:r w:rsidR="003669E8" w:rsidRPr="006974C7">
        <w:rPr>
          <w:lang w:val="en-AU"/>
        </w:rPr>
        <w:t>dated 24 August</w:t>
      </w:r>
      <w:r w:rsidR="003669E8">
        <w:rPr>
          <w:sz w:val="22"/>
          <w:szCs w:val="22"/>
          <w:lang w:val="en-AU"/>
        </w:rPr>
        <w:t xml:space="preserve"> </w:t>
      </w:r>
      <w:r w:rsidR="003669E8" w:rsidRPr="006974C7">
        <w:rPr>
          <w:lang w:val="en-AU"/>
        </w:rPr>
        <w:t xml:space="preserve">2018, which he responded to </w:t>
      </w:r>
      <w:r w:rsidR="008017B2">
        <w:rPr>
          <w:lang w:val="en-AU"/>
        </w:rPr>
        <w:t xml:space="preserve">in </w:t>
      </w:r>
      <w:r w:rsidR="003669E8" w:rsidRPr="006974C7">
        <w:rPr>
          <w:lang w:val="en-AU"/>
        </w:rPr>
        <w:t>an</w:t>
      </w:r>
      <w:r w:rsidRPr="006974C7">
        <w:rPr>
          <w:lang w:val="en-AU"/>
        </w:rPr>
        <w:t xml:space="preserve"> </w:t>
      </w:r>
      <w:r w:rsidRPr="006974C7">
        <w:rPr>
          <w:lang w:val="en-AU"/>
        </w:rPr>
        <w:lastRenderedPageBreak/>
        <w:t>email dated 28 August 2018.</w:t>
      </w:r>
      <w:r w:rsidRPr="006974C7">
        <w:rPr>
          <w:rStyle w:val="FootnoteReference"/>
          <w:lang w:val="en-AU"/>
        </w:rPr>
        <w:footnoteReference w:id="7"/>
      </w:r>
      <w:r w:rsidR="003669E8" w:rsidRPr="006974C7">
        <w:rPr>
          <w:lang w:val="en-AU"/>
        </w:rPr>
        <w:t xml:space="preserve"> </w:t>
      </w:r>
      <w:r w:rsidRPr="006974C7">
        <w:rPr>
          <w:lang w:val="en-AU"/>
        </w:rPr>
        <w:t>In his response Mr Hemmings says the following</w:t>
      </w:r>
      <w:r w:rsidR="009A3C38">
        <w:rPr>
          <w:lang w:val="en-AU"/>
        </w:rPr>
        <w:t xml:space="preserve"> at IB 142</w:t>
      </w:r>
      <w:r w:rsidRPr="006974C7">
        <w:rPr>
          <w:lang w:val="en-AU"/>
        </w:rPr>
        <w:t>:</w:t>
      </w:r>
    </w:p>
    <w:p w14:paraId="795B5292" w14:textId="77777777" w:rsidR="006974C7" w:rsidRPr="006974C7" w:rsidRDefault="006974C7" w:rsidP="006974C7">
      <w:pPr>
        <w:jc w:val="both"/>
        <w:rPr>
          <w:sz w:val="22"/>
          <w:szCs w:val="22"/>
          <w:lang w:val="en-AU"/>
        </w:rPr>
      </w:pPr>
    </w:p>
    <w:p w14:paraId="6C064E57" w14:textId="3D1AD23C" w:rsidR="006974C7" w:rsidRDefault="006F520C" w:rsidP="006974C7">
      <w:pPr>
        <w:ind w:left="1440"/>
        <w:jc w:val="both"/>
        <w:rPr>
          <w:i/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 xml:space="preserve">“10. </w:t>
      </w:r>
      <w:r w:rsidR="006974C7" w:rsidRPr="006974C7">
        <w:rPr>
          <w:i/>
          <w:sz w:val="22"/>
          <w:szCs w:val="22"/>
          <w:lang w:val="en-AU"/>
        </w:rPr>
        <w:t>The appl</w:t>
      </w:r>
      <w:r>
        <w:rPr>
          <w:i/>
          <w:sz w:val="22"/>
          <w:szCs w:val="22"/>
          <w:lang w:val="en-AU"/>
        </w:rPr>
        <w:t>ication included the question, ‘</w:t>
      </w:r>
      <w:r w:rsidR="006974C7" w:rsidRPr="006974C7">
        <w:rPr>
          <w:i/>
          <w:sz w:val="22"/>
          <w:szCs w:val="22"/>
          <w:lang w:val="en-AU"/>
        </w:rPr>
        <w:t>you hold, or have previously held, a licen</w:t>
      </w:r>
      <w:r w:rsidR="003B12CB">
        <w:rPr>
          <w:i/>
          <w:sz w:val="22"/>
          <w:szCs w:val="22"/>
          <w:lang w:val="en-AU"/>
        </w:rPr>
        <w:t>c</w:t>
      </w:r>
      <w:r w:rsidR="006974C7" w:rsidRPr="006974C7">
        <w:rPr>
          <w:i/>
          <w:sz w:val="22"/>
          <w:szCs w:val="22"/>
          <w:lang w:val="en-AU"/>
        </w:rPr>
        <w:t>e or registration as an agent’s representative under any corresponding law in any other State or Territory, to which I answered ‘no’.</w:t>
      </w:r>
    </w:p>
    <w:p w14:paraId="49001CFD" w14:textId="77777777" w:rsidR="0004166C" w:rsidRPr="006974C7" w:rsidRDefault="0004166C" w:rsidP="006974C7">
      <w:pPr>
        <w:ind w:left="1440"/>
        <w:jc w:val="both"/>
        <w:rPr>
          <w:i/>
          <w:sz w:val="22"/>
          <w:szCs w:val="22"/>
          <w:lang w:val="en-AU"/>
        </w:rPr>
      </w:pPr>
    </w:p>
    <w:p w14:paraId="5A21651B" w14:textId="5E2E2B0A" w:rsidR="006974C7" w:rsidRDefault="006F520C" w:rsidP="006974C7">
      <w:pPr>
        <w:ind w:left="1440"/>
        <w:jc w:val="both"/>
        <w:rPr>
          <w:i/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 xml:space="preserve">11. </w:t>
      </w:r>
      <w:r w:rsidR="006974C7" w:rsidRPr="006974C7">
        <w:rPr>
          <w:i/>
          <w:sz w:val="22"/>
          <w:szCs w:val="22"/>
          <w:lang w:val="en-AU"/>
        </w:rPr>
        <w:t xml:space="preserve">I answered ‘no’ to the relevant </w:t>
      </w:r>
      <w:r w:rsidR="00595CF2" w:rsidRPr="006974C7">
        <w:rPr>
          <w:i/>
          <w:sz w:val="22"/>
          <w:szCs w:val="22"/>
          <w:lang w:val="en-AU"/>
        </w:rPr>
        <w:t>question because</w:t>
      </w:r>
      <w:r w:rsidR="006974C7" w:rsidRPr="006974C7">
        <w:rPr>
          <w:i/>
          <w:sz w:val="22"/>
          <w:szCs w:val="22"/>
          <w:lang w:val="en-AU"/>
        </w:rPr>
        <w:t xml:space="preserve"> I misund</w:t>
      </w:r>
      <w:r w:rsidR="003B12CB">
        <w:rPr>
          <w:i/>
          <w:sz w:val="22"/>
          <w:szCs w:val="22"/>
          <w:lang w:val="en-AU"/>
        </w:rPr>
        <w:t>erstood the question to mean, ‘</w:t>
      </w:r>
      <w:r w:rsidR="006974C7" w:rsidRPr="006974C7">
        <w:rPr>
          <w:i/>
          <w:sz w:val="22"/>
          <w:szCs w:val="22"/>
          <w:lang w:val="en-AU"/>
        </w:rPr>
        <w:t>do I hold a licen</w:t>
      </w:r>
      <w:r w:rsidR="003B12CB">
        <w:rPr>
          <w:i/>
          <w:sz w:val="22"/>
          <w:szCs w:val="22"/>
          <w:lang w:val="en-AU"/>
        </w:rPr>
        <w:t>c</w:t>
      </w:r>
      <w:r w:rsidR="006974C7" w:rsidRPr="006974C7">
        <w:rPr>
          <w:i/>
          <w:sz w:val="22"/>
          <w:szCs w:val="22"/>
          <w:lang w:val="en-AU"/>
        </w:rPr>
        <w:t>e in any other State or Territory where</w:t>
      </w:r>
      <w:r>
        <w:rPr>
          <w:i/>
          <w:sz w:val="22"/>
          <w:szCs w:val="22"/>
          <w:lang w:val="en-AU"/>
        </w:rPr>
        <w:t xml:space="preserve"> (sic)</w:t>
      </w:r>
      <w:r w:rsidR="006974C7" w:rsidRPr="006974C7">
        <w:rPr>
          <w:i/>
          <w:sz w:val="22"/>
          <w:szCs w:val="22"/>
          <w:lang w:val="en-AU"/>
        </w:rPr>
        <w:t xml:space="preserve"> Agents Licensing Act’. Since the law in South Australia applies the Lands Agents Act, I unfortunately assumed that the cancelled South Australian licen</w:t>
      </w:r>
      <w:r w:rsidR="003B12CB">
        <w:rPr>
          <w:i/>
          <w:sz w:val="22"/>
          <w:szCs w:val="22"/>
          <w:lang w:val="en-AU"/>
        </w:rPr>
        <w:t>c</w:t>
      </w:r>
      <w:r w:rsidR="006974C7" w:rsidRPr="006974C7">
        <w:rPr>
          <w:i/>
          <w:sz w:val="22"/>
          <w:szCs w:val="22"/>
          <w:lang w:val="en-AU"/>
        </w:rPr>
        <w:t>e was not relevant</w:t>
      </w:r>
      <w:r w:rsidR="00CF5C38">
        <w:rPr>
          <w:i/>
          <w:sz w:val="22"/>
          <w:szCs w:val="22"/>
          <w:lang w:val="en-AU"/>
        </w:rPr>
        <w:t xml:space="preserve"> to this question.</w:t>
      </w:r>
    </w:p>
    <w:p w14:paraId="07714514" w14:textId="7264F7C9" w:rsidR="00CF5C38" w:rsidRPr="006974C7" w:rsidRDefault="006F520C" w:rsidP="006974C7">
      <w:pPr>
        <w:ind w:left="1440"/>
        <w:jc w:val="both"/>
        <w:rPr>
          <w:i/>
          <w:sz w:val="22"/>
          <w:szCs w:val="22"/>
          <w:lang w:val="en-AU"/>
        </w:rPr>
      </w:pPr>
      <w:r>
        <w:rPr>
          <w:i/>
          <w:sz w:val="22"/>
          <w:szCs w:val="22"/>
          <w:lang w:val="en-AU"/>
        </w:rPr>
        <w:t>12. When</w:t>
      </w:r>
      <w:r w:rsidR="00CF5C38">
        <w:rPr>
          <w:i/>
          <w:sz w:val="22"/>
          <w:szCs w:val="22"/>
          <w:lang w:val="en-AU"/>
        </w:rPr>
        <w:t xml:space="preserve"> I answered ‘no’ to </w:t>
      </w:r>
      <w:r>
        <w:rPr>
          <w:i/>
          <w:sz w:val="22"/>
          <w:szCs w:val="22"/>
          <w:lang w:val="en-AU"/>
        </w:rPr>
        <w:t>the relevant question, I had no</w:t>
      </w:r>
      <w:r w:rsidR="00CF5C38">
        <w:rPr>
          <w:i/>
          <w:sz w:val="22"/>
          <w:szCs w:val="22"/>
          <w:lang w:val="en-AU"/>
        </w:rPr>
        <w:t xml:space="preserve"> intention to provide false or misleading information.”</w:t>
      </w:r>
    </w:p>
    <w:p w14:paraId="25D2144B" w14:textId="77777777" w:rsidR="003631A6" w:rsidRDefault="003631A6" w:rsidP="00556DEB">
      <w:pPr>
        <w:ind w:left="1080"/>
        <w:jc w:val="both"/>
        <w:rPr>
          <w:sz w:val="22"/>
          <w:szCs w:val="22"/>
          <w:lang w:val="en-AU"/>
        </w:rPr>
      </w:pPr>
    </w:p>
    <w:p w14:paraId="5F39B0F9" w14:textId="6EF9AFFA" w:rsidR="009D3F0F" w:rsidRPr="009D3F0F" w:rsidRDefault="006974C7" w:rsidP="00137699">
      <w:pPr>
        <w:pStyle w:val="ListParagraph"/>
        <w:numPr>
          <w:ilvl w:val="0"/>
          <w:numId w:val="1"/>
        </w:numPr>
        <w:jc w:val="both"/>
        <w:rPr>
          <w:i/>
          <w:lang w:val="en-AU"/>
        </w:rPr>
      </w:pPr>
      <w:r w:rsidRPr="00032EDE">
        <w:rPr>
          <w:lang w:val="en-AU"/>
        </w:rPr>
        <w:t xml:space="preserve">Mr Hemmings’s defence appears to be </w:t>
      </w:r>
      <w:r w:rsidR="00C93628" w:rsidRPr="00032EDE">
        <w:rPr>
          <w:lang w:val="en-AU"/>
        </w:rPr>
        <w:t xml:space="preserve">simply </w:t>
      </w:r>
      <w:r w:rsidRPr="00032EDE">
        <w:rPr>
          <w:lang w:val="en-AU"/>
        </w:rPr>
        <w:t>that he misunderstood Question</w:t>
      </w:r>
      <w:r w:rsidR="00591874" w:rsidRPr="00032EDE">
        <w:rPr>
          <w:lang w:val="en-AU"/>
        </w:rPr>
        <w:t xml:space="preserve"> 7 to mean “did he hold a licenc</w:t>
      </w:r>
      <w:r w:rsidRPr="00032EDE">
        <w:rPr>
          <w:lang w:val="en-AU"/>
        </w:rPr>
        <w:t>e in any other State/Territory where</w:t>
      </w:r>
      <w:r w:rsidR="00CF5C38" w:rsidRPr="00032EDE">
        <w:rPr>
          <w:lang w:val="en-AU"/>
        </w:rPr>
        <w:t xml:space="preserve"> the </w:t>
      </w:r>
      <w:r w:rsidR="00CF5C38" w:rsidRPr="00032EDE">
        <w:rPr>
          <w:i/>
          <w:lang w:val="en-AU"/>
        </w:rPr>
        <w:t>Agents Licensing</w:t>
      </w:r>
      <w:r w:rsidR="00C93628" w:rsidRPr="00032EDE">
        <w:rPr>
          <w:i/>
          <w:lang w:val="en-AU"/>
        </w:rPr>
        <w:t xml:space="preserve"> Act</w:t>
      </w:r>
      <w:r w:rsidR="00C93628" w:rsidRPr="00032EDE">
        <w:rPr>
          <w:lang w:val="en-AU"/>
        </w:rPr>
        <w:t xml:space="preserve"> existed?</w:t>
      </w:r>
      <w:r w:rsidR="00F87EE5" w:rsidRPr="00032EDE">
        <w:rPr>
          <w:lang w:val="en-AU"/>
        </w:rPr>
        <w:t>”</w:t>
      </w:r>
      <w:r w:rsidR="006F520C" w:rsidRPr="00032EDE">
        <w:rPr>
          <w:lang w:val="en-AU"/>
        </w:rPr>
        <w:t xml:space="preserve"> His position appears to be</w:t>
      </w:r>
      <w:r w:rsidR="00591874" w:rsidRPr="00032EDE">
        <w:rPr>
          <w:lang w:val="en-AU"/>
        </w:rPr>
        <w:t xml:space="preserve"> that because the SA licenc</w:t>
      </w:r>
      <w:r w:rsidR="00C93628" w:rsidRPr="00032EDE">
        <w:rPr>
          <w:lang w:val="en-AU"/>
        </w:rPr>
        <w:t xml:space="preserve">e was not </w:t>
      </w:r>
      <w:r w:rsidR="00F87EE5" w:rsidRPr="00032EDE">
        <w:rPr>
          <w:lang w:val="en-AU"/>
        </w:rPr>
        <w:t xml:space="preserve">issued </w:t>
      </w:r>
      <w:r w:rsidR="00C93628" w:rsidRPr="00032EDE">
        <w:rPr>
          <w:lang w:val="en-AU"/>
        </w:rPr>
        <w:t xml:space="preserve">under an Act called the </w:t>
      </w:r>
      <w:r w:rsidR="00C93628" w:rsidRPr="00032EDE">
        <w:rPr>
          <w:i/>
          <w:lang w:val="en-AU"/>
        </w:rPr>
        <w:t>Agents Licensing Act</w:t>
      </w:r>
      <w:r w:rsidR="00F87EE5" w:rsidRPr="00032EDE">
        <w:rPr>
          <w:lang w:val="en-AU"/>
        </w:rPr>
        <w:t xml:space="preserve">, </w:t>
      </w:r>
      <w:r w:rsidR="00F87EE5" w:rsidRPr="00C54620">
        <w:rPr>
          <w:lang w:val="en-AU"/>
        </w:rPr>
        <w:t>that this caused him to make a mistake</w:t>
      </w:r>
      <w:r w:rsidR="00C93628" w:rsidRPr="00032EDE">
        <w:rPr>
          <w:lang w:val="en-AU"/>
        </w:rPr>
        <w:t>. This is his sole defence. He appears to take no issue with th</w:t>
      </w:r>
      <w:r w:rsidR="00591874" w:rsidRPr="00032EDE">
        <w:rPr>
          <w:lang w:val="en-AU"/>
        </w:rPr>
        <w:t>e SA licenc</w:t>
      </w:r>
      <w:r w:rsidR="00C93628" w:rsidRPr="00032EDE">
        <w:rPr>
          <w:lang w:val="en-AU"/>
        </w:rPr>
        <w:t xml:space="preserve">e </w:t>
      </w:r>
      <w:r w:rsidR="006F520C" w:rsidRPr="00032EDE">
        <w:rPr>
          <w:lang w:val="en-AU"/>
        </w:rPr>
        <w:t>being concerned with somebody who falls</w:t>
      </w:r>
      <w:r w:rsidR="00C93628" w:rsidRPr="00032EDE">
        <w:rPr>
          <w:lang w:val="en-AU"/>
        </w:rPr>
        <w:t xml:space="preserve"> within the parameters </w:t>
      </w:r>
      <w:r w:rsidR="00C93628" w:rsidRPr="00DC35A7">
        <w:rPr>
          <w:lang w:val="en-AU"/>
        </w:rPr>
        <w:t xml:space="preserve">of an agent’s representative. </w:t>
      </w:r>
      <w:r w:rsidRPr="00DC35A7">
        <w:rPr>
          <w:lang w:val="en-AU"/>
        </w:rPr>
        <w:t xml:space="preserve"> The problem </w:t>
      </w:r>
      <w:r w:rsidR="00C93628" w:rsidRPr="00DC35A7">
        <w:rPr>
          <w:lang w:val="en-AU"/>
        </w:rPr>
        <w:t>with his</w:t>
      </w:r>
      <w:r w:rsidRPr="00DC35A7">
        <w:rPr>
          <w:lang w:val="en-AU"/>
        </w:rPr>
        <w:t xml:space="preserve"> response </w:t>
      </w:r>
      <w:r w:rsidR="00C93628" w:rsidRPr="00DC35A7">
        <w:rPr>
          <w:lang w:val="en-AU"/>
        </w:rPr>
        <w:t xml:space="preserve">is that </w:t>
      </w:r>
      <w:r w:rsidRPr="00DC35A7">
        <w:rPr>
          <w:lang w:val="en-AU"/>
        </w:rPr>
        <w:t>it ignores the word “corresponding”</w:t>
      </w:r>
      <w:r w:rsidR="00B54DE6" w:rsidRPr="00DC35A7">
        <w:rPr>
          <w:lang w:val="en-AU"/>
        </w:rPr>
        <w:t>,</w:t>
      </w:r>
      <w:r w:rsidRPr="00DC35A7">
        <w:rPr>
          <w:lang w:val="en-AU"/>
        </w:rPr>
        <w:t xml:space="preserve"> which is a clearly operative word in question</w:t>
      </w:r>
      <w:r w:rsidR="00C93628" w:rsidRPr="00DC35A7">
        <w:rPr>
          <w:lang w:val="en-AU"/>
        </w:rPr>
        <w:t xml:space="preserve"> 7. </w:t>
      </w:r>
      <w:r w:rsidRPr="00DC35A7">
        <w:rPr>
          <w:lang w:val="en-AU"/>
        </w:rPr>
        <w:t xml:space="preserve"> </w:t>
      </w:r>
      <w:r w:rsidR="006F520C">
        <w:rPr>
          <w:lang w:val="en-AU"/>
        </w:rPr>
        <w:t>(</w:t>
      </w:r>
      <w:r w:rsidR="00F87EE5" w:rsidRPr="00DC35A7">
        <w:rPr>
          <w:lang w:val="en-AU"/>
        </w:rPr>
        <w:t xml:space="preserve">Also, </w:t>
      </w:r>
      <w:r w:rsidR="00283E7B">
        <w:rPr>
          <w:lang w:val="en-AU"/>
        </w:rPr>
        <w:t>Question </w:t>
      </w:r>
      <w:r w:rsidR="00C54620">
        <w:rPr>
          <w:lang w:val="en-AU"/>
        </w:rPr>
        <w:t>7</w:t>
      </w:r>
      <w:r w:rsidRPr="00DC35A7">
        <w:rPr>
          <w:lang w:val="en-AU"/>
        </w:rPr>
        <w:t xml:space="preserve"> refers to not</w:t>
      </w:r>
      <w:r w:rsidR="00591874">
        <w:rPr>
          <w:lang w:val="en-AU"/>
        </w:rPr>
        <w:t xml:space="preserve"> merely to holding such a licenc</w:t>
      </w:r>
      <w:r w:rsidRPr="00DC35A7">
        <w:rPr>
          <w:lang w:val="en-AU"/>
        </w:rPr>
        <w:t>e but to previously holding such a licen</w:t>
      </w:r>
      <w:r w:rsidR="00591874">
        <w:rPr>
          <w:lang w:val="en-AU"/>
        </w:rPr>
        <w:t>c</w:t>
      </w:r>
      <w:r w:rsidRPr="00DC35A7">
        <w:rPr>
          <w:lang w:val="en-AU"/>
        </w:rPr>
        <w:t>e</w:t>
      </w:r>
      <w:r w:rsidR="006F520C">
        <w:rPr>
          <w:lang w:val="en-AU"/>
        </w:rPr>
        <w:t>)</w:t>
      </w:r>
      <w:r w:rsidRPr="00DC35A7">
        <w:rPr>
          <w:lang w:val="en-AU"/>
        </w:rPr>
        <w:t>. The question is not complicated</w:t>
      </w:r>
      <w:r w:rsidR="00CD0AA8" w:rsidRPr="00DC35A7">
        <w:rPr>
          <w:lang w:val="en-AU"/>
        </w:rPr>
        <w:t xml:space="preserve"> either in its grammatical structure or the language that it employs</w:t>
      </w:r>
      <w:r w:rsidRPr="00DC35A7">
        <w:rPr>
          <w:lang w:val="en-AU"/>
        </w:rPr>
        <w:t xml:space="preserve">. It also follows on immediately from question 6, which </w:t>
      </w:r>
      <w:r w:rsidR="00CF5C38">
        <w:rPr>
          <w:lang w:val="en-AU"/>
        </w:rPr>
        <w:t>is directed to agent</w:t>
      </w:r>
      <w:r w:rsidR="006F520C">
        <w:rPr>
          <w:lang w:val="en-AU"/>
        </w:rPr>
        <w:t>’</w:t>
      </w:r>
      <w:r w:rsidR="00CF5C38">
        <w:rPr>
          <w:lang w:val="en-AU"/>
        </w:rPr>
        <w:t>s licenc</w:t>
      </w:r>
      <w:r w:rsidR="00C93628" w:rsidRPr="00DC35A7">
        <w:rPr>
          <w:lang w:val="en-AU"/>
        </w:rPr>
        <w:t xml:space="preserve">es in the </w:t>
      </w:r>
      <w:r w:rsidR="009D3F0F">
        <w:rPr>
          <w:lang w:val="en-AU"/>
        </w:rPr>
        <w:t>NT.</w:t>
      </w:r>
    </w:p>
    <w:p w14:paraId="0E423612" w14:textId="77777777" w:rsidR="009D3F0F" w:rsidRPr="009D3F0F" w:rsidRDefault="009D3F0F" w:rsidP="009D3F0F">
      <w:pPr>
        <w:pStyle w:val="ListParagraph"/>
        <w:ind w:left="1080"/>
        <w:jc w:val="both"/>
        <w:rPr>
          <w:i/>
          <w:lang w:val="en-AU"/>
        </w:rPr>
      </w:pPr>
    </w:p>
    <w:p w14:paraId="18A3881C" w14:textId="1D2299C5" w:rsidR="009D3F0F" w:rsidRPr="009D3F0F" w:rsidRDefault="00F87EE5" w:rsidP="00137699">
      <w:pPr>
        <w:pStyle w:val="ListParagraph"/>
        <w:numPr>
          <w:ilvl w:val="0"/>
          <w:numId w:val="1"/>
        </w:numPr>
        <w:jc w:val="both"/>
        <w:rPr>
          <w:i/>
          <w:lang w:val="en-AU"/>
        </w:rPr>
      </w:pPr>
      <w:r w:rsidRPr="00DC35A7">
        <w:rPr>
          <w:lang w:val="en-AU"/>
        </w:rPr>
        <w:t>The word ‘correspond’ is an ordinary English w</w:t>
      </w:r>
      <w:r w:rsidR="00591874">
        <w:rPr>
          <w:lang w:val="en-AU"/>
        </w:rPr>
        <w:t xml:space="preserve">ord. It means in this context, </w:t>
      </w:r>
      <w:r w:rsidRPr="00DC35A7">
        <w:rPr>
          <w:lang w:val="en-AU"/>
        </w:rPr>
        <w:t>‘analogous to’ or ‘similar or partly similar to’</w:t>
      </w:r>
      <w:r w:rsidR="004A2EEA" w:rsidRPr="00DC35A7">
        <w:rPr>
          <w:rStyle w:val="FootnoteReference"/>
          <w:lang w:val="en-AU"/>
        </w:rPr>
        <w:footnoteReference w:id="8"/>
      </w:r>
      <w:r w:rsidRPr="00DC35A7">
        <w:rPr>
          <w:lang w:val="en-AU"/>
        </w:rPr>
        <w:t xml:space="preserve">. </w:t>
      </w:r>
      <w:r w:rsidR="00100FC1" w:rsidRPr="00DC35A7">
        <w:rPr>
          <w:lang w:val="en-AU"/>
        </w:rPr>
        <w:t>I</w:t>
      </w:r>
      <w:r w:rsidR="00C93628" w:rsidRPr="00DC35A7">
        <w:rPr>
          <w:lang w:val="en-AU"/>
        </w:rPr>
        <w:t xml:space="preserve">t ought to have been plain to anybody responding to Question 7 that it was directed to prior </w:t>
      </w:r>
      <w:r w:rsidR="006F520C">
        <w:rPr>
          <w:lang w:val="en-AU"/>
        </w:rPr>
        <w:t>or current holding of an interstate licen</w:t>
      </w:r>
      <w:r w:rsidR="00C54620">
        <w:rPr>
          <w:lang w:val="en-AU"/>
        </w:rPr>
        <w:t>c</w:t>
      </w:r>
      <w:r w:rsidR="006F520C">
        <w:rPr>
          <w:lang w:val="en-AU"/>
        </w:rPr>
        <w:t>e</w:t>
      </w:r>
      <w:r w:rsidR="00100FC1" w:rsidRPr="00DC35A7">
        <w:rPr>
          <w:lang w:val="en-AU"/>
        </w:rPr>
        <w:t xml:space="preserve"> </w:t>
      </w:r>
      <w:r w:rsidR="00C93628" w:rsidRPr="00DC35A7">
        <w:rPr>
          <w:lang w:val="en-AU"/>
        </w:rPr>
        <w:t>as an agent’s repr</w:t>
      </w:r>
      <w:r w:rsidR="00B54DE6" w:rsidRPr="00DC35A7">
        <w:rPr>
          <w:lang w:val="en-AU"/>
        </w:rPr>
        <w:t xml:space="preserve">esentative under a </w:t>
      </w:r>
      <w:r w:rsidR="00C93628" w:rsidRPr="00DC35A7">
        <w:rPr>
          <w:lang w:val="en-AU"/>
        </w:rPr>
        <w:t>law</w:t>
      </w:r>
      <w:r w:rsidR="00B54DE6" w:rsidRPr="00DC35A7">
        <w:rPr>
          <w:lang w:val="en-AU"/>
        </w:rPr>
        <w:t xml:space="preserve"> corresponding to the Act</w:t>
      </w:r>
      <w:r w:rsidR="00C93628" w:rsidRPr="00DC35A7">
        <w:rPr>
          <w:lang w:val="en-AU"/>
        </w:rPr>
        <w:t xml:space="preserve">. </w:t>
      </w:r>
      <w:r w:rsidR="00100FC1" w:rsidRPr="00DC35A7">
        <w:rPr>
          <w:lang w:val="en-AU"/>
        </w:rPr>
        <w:t>The fact that the SA licen</w:t>
      </w:r>
      <w:r w:rsidR="00C54620">
        <w:rPr>
          <w:lang w:val="en-AU"/>
        </w:rPr>
        <w:t>c</w:t>
      </w:r>
      <w:r w:rsidR="00100FC1" w:rsidRPr="00DC35A7">
        <w:rPr>
          <w:lang w:val="en-AU"/>
        </w:rPr>
        <w:t>e used the word “land” and “agent” in the title of the Act</w:t>
      </w:r>
      <w:r w:rsidR="007B7AAC" w:rsidRPr="00DC35A7">
        <w:rPr>
          <w:lang w:val="en-AU"/>
        </w:rPr>
        <w:t xml:space="preserve"> </w:t>
      </w:r>
      <w:r w:rsidRPr="00DC35A7">
        <w:rPr>
          <w:lang w:val="en-AU"/>
        </w:rPr>
        <w:t xml:space="preserve">was a further matter that </w:t>
      </w:r>
      <w:r w:rsidR="00100FC1" w:rsidRPr="00DC35A7">
        <w:rPr>
          <w:lang w:val="en-AU"/>
        </w:rPr>
        <w:t>ought to have made it abundantly clear</w:t>
      </w:r>
      <w:r w:rsidR="007B7AAC" w:rsidRPr="00DC35A7">
        <w:rPr>
          <w:lang w:val="en-AU"/>
        </w:rPr>
        <w:t xml:space="preserve"> to Mr</w:t>
      </w:r>
      <w:r w:rsidR="00C54620">
        <w:rPr>
          <w:lang w:val="en-AU"/>
        </w:rPr>
        <w:t> </w:t>
      </w:r>
      <w:r w:rsidR="007B7AAC" w:rsidRPr="00DC35A7">
        <w:rPr>
          <w:lang w:val="en-AU"/>
        </w:rPr>
        <w:t>Hemmings</w:t>
      </w:r>
      <w:r w:rsidR="00C93628" w:rsidRPr="00DC35A7">
        <w:rPr>
          <w:lang w:val="en-AU"/>
        </w:rPr>
        <w:t xml:space="preserve"> that this corresponded to the Act. </w:t>
      </w:r>
    </w:p>
    <w:p w14:paraId="7D5133C4" w14:textId="77777777" w:rsidR="009D3F0F" w:rsidRPr="009D3F0F" w:rsidRDefault="009D3F0F" w:rsidP="009D3F0F">
      <w:pPr>
        <w:jc w:val="both"/>
        <w:rPr>
          <w:lang w:val="en-AU"/>
        </w:rPr>
      </w:pPr>
    </w:p>
    <w:p w14:paraId="79B36981" w14:textId="48E418BF" w:rsidR="00556DEB" w:rsidRPr="003B55FF" w:rsidRDefault="007B7AAC" w:rsidP="00137699">
      <w:pPr>
        <w:pStyle w:val="ListParagraph"/>
        <w:numPr>
          <w:ilvl w:val="0"/>
          <w:numId w:val="1"/>
        </w:numPr>
        <w:jc w:val="both"/>
        <w:rPr>
          <w:i/>
          <w:lang w:val="en-AU"/>
        </w:rPr>
      </w:pPr>
      <w:r w:rsidRPr="00DC35A7">
        <w:rPr>
          <w:lang w:val="en-AU"/>
        </w:rPr>
        <w:t xml:space="preserve">An additional matter is that </w:t>
      </w:r>
      <w:r w:rsidR="005C17E9" w:rsidRPr="00DC35A7">
        <w:rPr>
          <w:lang w:val="en-AU"/>
        </w:rPr>
        <w:t>only 6 weeks prior to Mr Hemmings’s NT application he received a detailed response from the SA Consumer a</w:t>
      </w:r>
      <w:r w:rsidR="00100FC1" w:rsidRPr="00DC35A7">
        <w:rPr>
          <w:lang w:val="en-AU"/>
        </w:rPr>
        <w:t>nd Business Service</w:t>
      </w:r>
      <w:r w:rsidR="00CF5C38">
        <w:rPr>
          <w:lang w:val="en-AU"/>
        </w:rPr>
        <w:t xml:space="preserve"> Commissioner</w:t>
      </w:r>
      <w:r w:rsidR="00100FC1" w:rsidRPr="00DC35A7">
        <w:rPr>
          <w:lang w:val="en-AU"/>
        </w:rPr>
        <w:t>, explaining</w:t>
      </w:r>
      <w:r w:rsidR="00C54620">
        <w:rPr>
          <w:lang w:val="en-AU"/>
        </w:rPr>
        <w:t xml:space="preserve"> why his licenc</w:t>
      </w:r>
      <w:r w:rsidR="005C17E9" w:rsidRPr="00DC35A7">
        <w:rPr>
          <w:lang w:val="en-AU"/>
        </w:rPr>
        <w:t>e in SA was cancel</w:t>
      </w:r>
      <w:r w:rsidR="006F520C">
        <w:rPr>
          <w:lang w:val="en-AU"/>
        </w:rPr>
        <w:t xml:space="preserve">led. The Commissioner focused attention </w:t>
      </w:r>
      <w:r w:rsidR="005C17E9" w:rsidRPr="00DC35A7">
        <w:rPr>
          <w:lang w:val="en-AU"/>
        </w:rPr>
        <w:t xml:space="preserve">on </w:t>
      </w:r>
      <w:r w:rsidR="00F87EE5" w:rsidRPr="00DC35A7">
        <w:rPr>
          <w:lang w:val="en-AU"/>
        </w:rPr>
        <w:t xml:space="preserve">the fact that </w:t>
      </w:r>
      <w:r w:rsidR="005C17E9" w:rsidRPr="00DC35A7">
        <w:rPr>
          <w:lang w:val="en-AU"/>
        </w:rPr>
        <w:t xml:space="preserve">Mr </w:t>
      </w:r>
      <w:r w:rsidR="00F87EE5" w:rsidRPr="00DC35A7">
        <w:rPr>
          <w:lang w:val="en-AU"/>
        </w:rPr>
        <w:t xml:space="preserve">Hemmings on two occasions </w:t>
      </w:r>
      <w:r w:rsidR="00CF5C38">
        <w:rPr>
          <w:lang w:val="en-AU"/>
        </w:rPr>
        <w:t xml:space="preserve">in his SA renewal applications </w:t>
      </w:r>
      <w:r w:rsidR="00F87EE5" w:rsidRPr="00DC35A7">
        <w:rPr>
          <w:lang w:val="en-AU"/>
        </w:rPr>
        <w:t>made</w:t>
      </w:r>
      <w:r w:rsidR="005C17E9" w:rsidRPr="00DC35A7">
        <w:rPr>
          <w:lang w:val="en-AU"/>
        </w:rPr>
        <w:t xml:space="preserve"> false and mis</w:t>
      </w:r>
      <w:r w:rsidR="00CF5C38">
        <w:rPr>
          <w:lang w:val="en-AU"/>
        </w:rPr>
        <w:t xml:space="preserve">leading statements regarding not revealing his </w:t>
      </w:r>
      <w:r w:rsidR="005C17E9" w:rsidRPr="00DC35A7">
        <w:rPr>
          <w:lang w:val="en-AU"/>
        </w:rPr>
        <w:t>prior insolvency. Th</w:t>
      </w:r>
      <w:r w:rsidR="00CF5C38">
        <w:rPr>
          <w:lang w:val="en-AU"/>
        </w:rPr>
        <w:t>e</w:t>
      </w:r>
      <w:r w:rsidR="00930A56" w:rsidRPr="00DC35A7">
        <w:rPr>
          <w:lang w:val="en-AU"/>
        </w:rPr>
        <w:t xml:space="preserve"> letter </w:t>
      </w:r>
      <w:r w:rsidR="00CF5C38">
        <w:rPr>
          <w:lang w:val="en-AU"/>
        </w:rPr>
        <w:t xml:space="preserve">from the Commissioner </w:t>
      </w:r>
      <w:r w:rsidR="005C17E9" w:rsidRPr="00DC35A7">
        <w:rPr>
          <w:lang w:val="en-AU"/>
        </w:rPr>
        <w:t xml:space="preserve">ought to have </w:t>
      </w:r>
      <w:r w:rsidR="00930A56" w:rsidRPr="00DC35A7">
        <w:rPr>
          <w:lang w:val="en-AU"/>
        </w:rPr>
        <w:t xml:space="preserve">further </w:t>
      </w:r>
      <w:r w:rsidR="005C17E9" w:rsidRPr="00DC35A7">
        <w:rPr>
          <w:lang w:val="en-AU"/>
        </w:rPr>
        <w:t>emphasised in Mr Hemmings’s mind the vital importance of an accurate response to any ques</w:t>
      </w:r>
      <w:r w:rsidR="006F520C">
        <w:rPr>
          <w:lang w:val="en-AU"/>
        </w:rPr>
        <w:t xml:space="preserve">tion asked of him in </w:t>
      </w:r>
      <w:r w:rsidR="00CF5C38">
        <w:rPr>
          <w:lang w:val="en-AU"/>
        </w:rPr>
        <w:t>the NT form</w:t>
      </w:r>
      <w:r w:rsidR="005C17E9" w:rsidRPr="00DC35A7">
        <w:rPr>
          <w:lang w:val="en-AU"/>
        </w:rPr>
        <w:t xml:space="preserve">. </w:t>
      </w:r>
      <w:r w:rsidR="009D3F0F">
        <w:rPr>
          <w:lang w:val="en-AU"/>
        </w:rPr>
        <w:t>Instead, in his response to the NT Registrar,</w:t>
      </w:r>
      <w:r w:rsidR="009D3F0F">
        <w:rPr>
          <w:rStyle w:val="FootnoteReference"/>
          <w:lang w:val="en-AU"/>
        </w:rPr>
        <w:footnoteReference w:id="9"/>
      </w:r>
      <w:r w:rsidR="009D3F0F">
        <w:rPr>
          <w:lang w:val="en-AU"/>
        </w:rPr>
        <w:t xml:space="preserve">he says that, in regard to the SA response, he didn’t understand </w:t>
      </w:r>
      <w:r w:rsidR="009D3F0F">
        <w:rPr>
          <w:lang w:val="en-AU"/>
        </w:rPr>
        <w:lastRenderedPageBreak/>
        <w:t>the meaning of the question, which is very close to the re</w:t>
      </w:r>
      <w:r w:rsidR="00CF5C38">
        <w:rPr>
          <w:lang w:val="en-AU"/>
        </w:rPr>
        <w:t>sponse that he delivered to the NT</w:t>
      </w:r>
      <w:r w:rsidR="009D3F0F">
        <w:rPr>
          <w:lang w:val="en-AU"/>
        </w:rPr>
        <w:t xml:space="preserve"> matter, namely, that he misunderstood the question.</w:t>
      </w:r>
    </w:p>
    <w:p w14:paraId="61C57587" w14:textId="77777777" w:rsidR="003B55FF" w:rsidRPr="0004166C" w:rsidRDefault="003B55FF" w:rsidP="003B55FF">
      <w:pPr>
        <w:jc w:val="both"/>
        <w:rPr>
          <w:lang w:val="en-AU"/>
        </w:rPr>
      </w:pPr>
    </w:p>
    <w:p w14:paraId="2D9C2550" w14:textId="32C9DC1C" w:rsidR="00100FC1" w:rsidRPr="003B55FF" w:rsidRDefault="003B55FF" w:rsidP="00CE14E5">
      <w:pPr>
        <w:pStyle w:val="ListParagraph"/>
        <w:numPr>
          <w:ilvl w:val="0"/>
          <w:numId w:val="1"/>
        </w:numPr>
        <w:jc w:val="both"/>
        <w:rPr>
          <w:i/>
          <w:sz w:val="22"/>
          <w:szCs w:val="22"/>
          <w:lang w:val="en-AU"/>
        </w:rPr>
      </w:pPr>
      <w:r w:rsidRPr="003B55FF">
        <w:rPr>
          <w:lang w:val="en-AU"/>
        </w:rPr>
        <w:t>Given all of these matters, the Board is of the view that there is no credible basis for Mr Hemmings</w:t>
      </w:r>
      <w:r w:rsidR="00F12E0F">
        <w:rPr>
          <w:lang w:val="en-AU"/>
        </w:rPr>
        <w:t>’</w:t>
      </w:r>
      <w:r w:rsidRPr="003B55FF">
        <w:rPr>
          <w:lang w:val="en-AU"/>
        </w:rPr>
        <w:t xml:space="preserve"> response to Question 7 that he misunderstood the question. </w:t>
      </w:r>
    </w:p>
    <w:p w14:paraId="09B518BF" w14:textId="77777777" w:rsidR="003B55FF" w:rsidRPr="0004166C" w:rsidRDefault="003B55FF" w:rsidP="003B55FF">
      <w:pPr>
        <w:jc w:val="both"/>
        <w:rPr>
          <w:lang w:val="en-AU"/>
        </w:rPr>
      </w:pPr>
    </w:p>
    <w:p w14:paraId="0524B370" w14:textId="7778F2DA" w:rsidR="005C17E9" w:rsidRPr="006F520C" w:rsidRDefault="00B40462" w:rsidP="00137699">
      <w:pPr>
        <w:pStyle w:val="ListParagraph"/>
        <w:numPr>
          <w:ilvl w:val="0"/>
          <w:numId w:val="1"/>
        </w:numPr>
        <w:jc w:val="both"/>
        <w:rPr>
          <w:i/>
          <w:sz w:val="22"/>
          <w:szCs w:val="22"/>
          <w:lang w:val="en-AU"/>
        </w:rPr>
      </w:pPr>
      <w:r>
        <w:rPr>
          <w:lang w:val="en-AU"/>
        </w:rPr>
        <w:t>Regarding the meaning of the word “false”, this depends on its context.</w:t>
      </w:r>
      <w:r>
        <w:rPr>
          <w:rStyle w:val="FootnoteReference"/>
          <w:lang w:val="en-AU"/>
        </w:rPr>
        <w:footnoteReference w:id="10"/>
      </w:r>
      <w:r>
        <w:rPr>
          <w:lang w:val="en-AU"/>
        </w:rPr>
        <w:t xml:space="preserve"> </w:t>
      </w:r>
      <w:r w:rsidR="007964C7">
        <w:rPr>
          <w:lang w:val="en-AU"/>
        </w:rPr>
        <w:t xml:space="preserve">Counsel assisting submitted that a false statement means if it is wrong in fact regardless of whether the applicant has knowledge of its falsity. Implicitly, at para 57 of </w:t>
      </w:r>
      <w:r w:rsidR="007964C7" w:rsidRPr="008B3BFD">
        <w:rPr>
          <w:b/>
          <w:lang w:val="en-AU"/>
        </w:rPr>
        <w:t>Lee v Health Care Complaints Commission</w:t>
      </w:r>
      <w:r w:rsidR="007964C7">
        <w:rPr>
          <w:rStyle w:val="FootnoteReference"/>
          <w:lang w:val="en-AU"/>
        </w:rPr>
        <w:footnoteReference w:id="11"/>
      </w:r>
      <w:r w:rsidR="007964C7">
        <w:rPr>
          <w:lang w:val="en-AU"/>
        </w:rPr>
        <w:t xml:space="preserve"> the NSW Court of Appeal accepted</w:t>
      </w:r>
      <w:r w:rsidR="007964C7">
        <w:rPr>
          <w:rStyle w:val="FootnoteReference"/>
          <w:lang w:val="en-AU"/>
        </w:rPr>
        <w:footnoteReference w:id="12"/>
      </w:r>
      <w:r w:rsidR="007964C7">
        <w:rPr>
          <w:lang w:val="en-AU"/>
        </w:rPr>
        <w:t xml:space="preserve"> that a false statement did not necessarily require deliberate dishonesty. The Board accepts this interpretation of the word “false”. It follows,</w:t>
      </w:r>
      <w:r w:rsidR="00C54620">
        <w:rPr>
          <w:lang w:val="en-AU"/>
        </w:rPr>
        <w:t xml:space="preserve"> that Mr Hemmings</w:t>
      </w:r>
      <w:r w:rsidR="00F12E0F">
        <w:rPr>
          <w:lang w:val="en-AU"/>
        </w:rPr>
        <w:t>’</w:t>
      </w:r>
      <w:r w:rsidR="00C54620">
        <w:rPr>
          <w:lang w:val="en-AU"/>
        </w:rPr>
        <w:t xml:space="preserve"> response, at question </w:t>
      </w:r>
      <w:r w:rsidR="007964C7">
        <w:rPr>
          <w:lang w:val="en-AU"/>
        </w:rPr>
        <w:t>7, falls</w:t>
      </w:r>
      <w:r w:rsidR="00CF5C38">
        <w:rPr>
          <w:lang w:val="en-AU"/>
        </w:rPr>
        <w:t>, at the very least,</w:t>
      </w:r>
      <w:r w:rsidR="007964C7">
        <w:rPr>
          <w:lang w:val="en-AU"/>
        </w:rPr>
        <w:t xml:space="preserve"> within the parameters of this definition of falsity</w:t>
      </w:r>
      <w:r w:rsidR="00CF5C38">
        <w:rPr>
          <w:lang w:val="en-AU"/>
        </w:rPr>
        <w:t>.</w:t>
      </w:r>
    </w:p>
    <w:p w14:paraId="23425157" w14:textId="77777777" w:rsidR="007964C7" w:rsidRPr="0004166C" w:rsidRDefault="007964C7" w:rsidP="0004166C">
      <w:pPr>
        <w:jc w:val="both"/>
        <w:rPr>
          <w:lang w:val="en-AU"/>
        </w:rPr>
      </w:pPr>
    </w:p>
    <w:p w14:paraId="73233049" w14:textId="77777777" w:rsidR="00DC35A7" w:rsidRPr="0004166C" w:rsidRDefault="00DC35A7" w:rsidP="0004166C">
      <w:pPr>
        <w:jc w:val="both"/>
        <w:rPr>
          <w:lang w:val="en-AU"/>
        </w:rPr>
      </w:pPr>
    </w:p>
    <w:p w14:paraId="28004DD7" w14:textId="04444ABC" w:rsidR="00DC35A7" w:rsidRDefault="00DC35A7" w:rsidP="00283E7B">
      <w:pPr>
        <w:pStyle w:val="ListParagraph"/>
        <w:ind w:left="709"/>
        <w:jc w:val="both"/>
        <w:rPr>
          <w:b/>
          <w:lang w:val="en-AU"/>
        </w:rPr>
      </w:pPr>
      <w:r w:rsidRPr="00DC35A7">
        <w:rPr>
          <w:b/>
          <w:lang w:val="en-AU"/>
        </w:rPr>
        <w:t>Matter</w:t>
      </w:r>
      <w:r w:rsidR="009204CE">
        <w:rPr>
          <w:b/>
          <w:lang w:val="en-AU"/>
        </w:rPr>
        <w:t xml:space="preserve"> 2: If Mr Hemmings made a false statement, does it constitute a false declaration</w:t>
      </w:r>
      <w:r w:rsidRPr="00DC35A7">
        <w:rPr>
          <w:b/>
          <w:lang w:val="en-AU"/>
        </w:rPr>
        <w:t>?</w:t>
      </w:r>
    </w:p>
    <w:p w14:paraId="0A7B2116" w14:textId="77777777" w:rsidR="003D25DB" w:rsidRDefault="003D25DB" w:rsidP="007964C7">
      <w:pPr>
        <w:pStyle w:val="ListParagraph"/>
        <w:ind w:left="1080"/>
        <w:jc w:val="both"/>
        <w:rPr>
          <w:b/>
          <w:lang w:val="en-AU"/>
        </w:rPr>
      </w:pPr>
    </w:p>
    <w:p w14:paraId="617FCC1E" w14:textId="17AD1D41" w:rsidR="004017F2" w:rsidRDefault="00486E4D" w:rsidP="003D25DB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t>On the final page</w:t>
      </w:r>
      <w:r>
        <w:rPr>
          <w:rStyle w:val="FootnoteReference"/>
          <w:lang w:val="en-AU"/>
        </w:rPr>
        <w:footnoteReference w:id="13"/>
      </w:r>
      <w:r>
        <w:rPr>
          <w:lang w:val="en-AU"/>
        </w:rPr>
        <w:t xml:space="preserve"> of Mr Hemmings’ application he was required to make a declaration that the information contained in it is true and correct. He did so. This declaration was made under s</w:t>
      </w:r>
      <w:r w:rsidR="00C54620">
        <w:rPr>
          <w:lang w:val="en-AU"/>
        </w:rPr>
        <w:t>ection</w:t>
      </w:r>
      <w:r>
        <w:rPr>
          <w:lang w:val="en-AU"/>
        </w:rPr>
        <w:t xml:space="preserve"> 21 of the </w:t>
      </w:r>
      <w:r w:rsidRPr="00C54620">
        <w:rPr>
          <w:i/>
          <w:lang w:val="en-AU"/>
        </w:rPr>
        <w:t xml:space="preserve">Oaths, </w:t>
      </w:r>
      <w:r w:rsidR="00C54620">
        <w:rPr>
          <w:i/>
          <w:lang w:val="en-AU"/>
        </w:rPr>
        <w:t>Affidavits</w:t>
      </w:r>
      <w:r w:rsidRPr="00C54620">
        <w:rPr>
          <w:i/>
          <w:lang w:val="en-AU"/>
        </w:rPr>
        <w:t xml:space="preserve"> and Declarations A</w:t>
      </w:r>
      <w:r w:rsidR="00C54620" w:rsidRPr="00C54620">
        <w:rPr>
          <w:i/>
          <w:lang w:val="en-AU"/>
        </w:rPr>
        <w:t>c</w:t>
      </w:r>
      <w:r w:rsidRPr="00C54620">
        <w:rPr>
          <w:i/>
          <w:lang w:val="en-AU"/>
        </w:rPr>
        <w:t>t</w:t>
      </w:r>
      <w:r w:rsidR="00C54620">
        <w:rPr>
          <w:i/>
          <w:lang w:val="en-AU"/>
        </w:rPr>
        <w:t xml:space="preserve"> 2010</w:t>
      </w:r>
      <w:r>
        <w:rPr>
          <w:lang w:val="en-AU"/>
        </w:rPr>
        <w:t xml:space="preserve">, NT. </w:t>
      </w:r>
      <w:r w:rsidR="008B3BFD">
        <w:rPr>
          <w:lang w:val="en-AU"/>
        </w:rPr>
        <w:t xml:space="preserve"> </w:t>
      </w:r>
    </w:p>
    <w:p w14:paraId="21A9A39B" w14:textId="77777777" w:rsidR="004017F2" w:rsidRDefault="004017F2" w:rsidP="004017F2">
      <w:pPr>
        <w:pStyle w:val="ListParagraph"/>
        <w:ind w:left="1080"/>
        <w:jc w:val="both"/>
        <w:rPr>
          <w:lang w:val="en-AU"/>
        </w:rPr>
      </w:pPr>
    </w:p>
    <w:p w14:paraId="30B101B7" w14:textId="282C2713" w:rsidR="003D25DB" w:rsidRDefault="008B3BFD" w:rsidP="003D25DB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t>Knowingly providing false information “strikes at the heart of the licen</w:t>
      </w:r>
      <w:r w:rsidR="00C54620">
        <w:rPr>
          <w:lang w:val="en-AU"/>
        </w:rPr>
        <w:t>c</w:t>
      </w:r>
      <w:r>
        <w:rPr>
          <w:lang w:val="en-AU"/>
        </w:rPr>
        <w:t>ing regime intended to protect consumers from unqual</w:t>
      </w:r>
      <w:r w:rsidR="004017F2">
        <w:rPr>
          <w:lang w:val="en-AU"/>
        </w:rPr>
        <w:t>ified and unsuitable operators”</w:t>
      </w:r>
      <w:r>
        <w:rPr>
          <w:lang w:val="en-AU"/>
        </w:rPr>
        <w:t xml:space="preserve">: </w:t>
      </w:r>
      <w:r w:rsidRPr="008B3BFD">
        <w:rPr>
          <w:b/>
          <w:lang w:val="en-AU"/>
        </w:rPr>
        <w:t>Commercial and Consumer Tribunal v White</w:t>
      </w:r>
      <w:r>
        <w:rPr>
          <w:lang w:val="en-AU"/>
        </w:rPr>
        <w:t xml:space="preserve"> </w:t>
      </w:r>
      <w:r>
        <w:rPr>
          <w:rStyle w:val="FootnoteReference"/>
          <w:lang w:val="en-AU"/>
        </w:rPr>
        <w:footnoteReference w:id="14"/>
      </w:r>
    </w:p>
    <w:p w14:paraId="27D41155" w14:textId="77777777" w:rsidR="00235544" w:rsidRDefault="00235544" w:rsidP="00235544">
      <w:pPr>
        <w:pStyle w:val="ListParagraph"/>
        <w:ind w:left="1080"/>
        <w:jc w:val="both"/>
        <w:rPr>
          <w:lang w:val="en-AU"/>
        </w:rPr>
      </w:pPr>
    </w:p>
    <w:p w14:paraId="63BEB66C" w14:textId="4F4A22D8" w:rsidR="00235544" w:rsidRDefault="00235544" w:rsidP="003D25DB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t>In addition to the matters referred to immediately above, the Board notes material placed before it</w:t>
      </w:r>
      <w:r w:rsidR="00BC0BB1">
        <w:rPr>
          <w:lang w:val="en-AU"/>
        </w:rPr>
        <w:t xml:space="preserve"> in the Inquiry Book</w:t>
      </w:r>
      <w:r w:rsidR="00C778F6">
        <w:rPr>
          <w:lang w:val="en-AU"/>
        </w:rPr>
        <w:t>, which demonstrates that Mr </w:t>
      </w:r>
      <w:r w:rsidR="00C54620">
        <w:rPr>
          <w:lang w:val="en-AU"/>
        </w:rPr>
        <w:t>Hemmings used the NT licence to obtain a licenc</w:t>
      </w:r>
      <w:r>
        <w:rPr>
          <w:lang w:val="en-AU"/>
        </w:rPr>
        <w:t>e in Victoria on 7 June 2018.</w:t>
      </w:r>
      <w:r>
        <w:rPr>
          <w:rStyle w:val="FootnoteReference"/>
          <w:lang w:val="en-AU"/>
        </w:rPr>
        <w:footnoteReference w:id="15"/>
      </w:r>
      <w:r>
        <w:rPr>
          <w:lang w:val="en-AU"/>
        </w:rPr>
        <w:t xml:space="preserve"> Further, the Board accepts that</w:t>
      </w:r>
      <w:r w:rsidR="00C54620">
        <w:rPr>
          <w:lang w:val="en-AU"/>
        </w:rPr>
        <w:t xml:space="preserve"> he attempted to obtain a licenc</w:t>
      </w:r>
      <w:r>
        <w:rPr>
          <w:lang w:val="en-AU"/>
        </w:rPr>
        <w:t xml:space="preserve">e in the ACT at one </w:t>
      </w:r>
      <w:r w:rsidR="00C54620">
        <w:rPr>
          <w:lang w:val="en-AU"/>
        </w:rPr>
        <w:t>point, after using the SA licenc</w:t>
      </w:r>
      <w:r>
        <w:rPr>
          <w:lang w:val="en-AU"/>
        </w:rPr>
        <w:t>e before it was cancelled.</w:t>
      </w:r>
      <w:r>
        <w:rPr>
          <w:rStyle w:val="FootnoteReference"/>
          <w:lang w:val="en-AU"/>
        </w:rPr>
        <w:footnoteReference w:id="16"/>
      </w:r>
      <w:r>
        <w:rPr>
          <w:lang w:val="en-AU"/>
        </w:rPr>
        <w:t xml:space="preserve"> The Board also finds that there is clear evidence before it that demonstrates that Mr Hemmings’ Victorian licen</w:t>
      </w:r>
      <w:r w:rsidR="00C54620">
        <w:rPr>
          <w:lang w:val="en-AU"/>
        </w:rPr>
        <w:t>c</w:t>
      </w:r>
      <w:r>
        <w:rPr>
          <w:lang w:val="en-AU"/>
        </w:rPr>
        <w:t>e application did not contain details of his aliases. When this was discovered after his licen</w:t>
      </w:r>
      <w:r w:rsidR="00C54620">
        <w:rPr>
          <w:lang w:val="en-AU"/>
        </w:rPr>
        <w:t>c</w:t>
      </w:r>
      <w:r>
        <w:rPr>
          <w:lang w:val="en-AU"/>
        </w:rPr>
        <w:t>e was issued, and not before then</w:t>
      </w:r>
      <w:r w:rsidR="006008F9">
        <w:rPr>
          <w:lang w:val="en-AU"/>
        </w:rPr>
        <w:t xml:space="preserve">, </w:t>
      </w:r>
      <w:r>
        <w:rPr>
          <w:lang w:val="en-AU"/>
        </w:rPr>
        <w:t xml:space="preserve">he supplied those details in a letter dated 31 August 2018. </w:t>
      </w:r>
    </w:p>
    <w:p w14:paraId="30F8A314" w14:textId="77777777" w:rsidR="009204CE" w:rsidRPr="009204CE" w:rsidRDefault="009204CE" w:rsidP="009204CE">
      <w:pPr>
        <w:jc w:val="both"/>
        <w:rPr>
          <w:lang w:val="en-AU"/>
        </w:rPr>
      </w:pPr>
    </w:p>
    <w:p w14:paraId="0CD05FD2" w14:textId="65AC7967" w:rsidR="009204CE" w:rsidRDefault="004017F2" w:rsidP="003D25DB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lastRenderedPageBreak/>
        <w:t>This history</w:t>
      </w:r>
      <w:r w:rsidR="009204CE">
        <w:rPr>
          <w:lang w:val="en-AU"/>
        </w:rPr>
        <w:t xml:space="preserve"> is important. In the light of all of this materi</w:t>
      </w:r>
      <w:r w:rsidR="00C778F6">
        <w:rPr>
          <w:lang w:val="en-AU"/>
        </w:rPr>
        <w:t>al the Board finds that Mr </w:t>
      </w:r>
      <w:r w:rsidR="009204CE">
        <w:rPr>
          <w:lang w:val="en-AU"/>
        </w:rPr>
        <w:t>Hemmings</w:t>
      </w:r>
      <w:r w:rsidR="006008F9">
        <w:rPr>
          <w:lang w:val="en-AU"/>
        </w:rPr>
        <w:t xml:space="preserve"> was effectively </w:t>
      </w:r>
      <w:r w:rsidR="00CF5C38">
        <w:rPr>
          <w:lang w:val="en-AU"/>
        </w:rPr>
        <w:t xml:space="preserve">using </w:t>
      </w:r>
      <w:r w:rsidR="006008F9">
        <w:rPr>
          <w:lang w:val="en-AU"/>
        </w:rPr>
        <w:t>a licen</w:t>
      </w:r>
      <w:r w:rsidR="005F7CBC">
        <w:rPr>
          <w:lang w:val="en-AU"/>
        </w:rPr>
        <w:t>c</w:t>
      </w:r>
      <w:r w:rsidR="006008F9">
        <w:rPr>
          <w:lang w:val="en-AU"/>
        </w:rPr>
        <w:t xml:space="preserve">e </w:t>
      </w:r>
      <w:r w:rsidR="009204CE">
        <w:rPr>
          <w:lang w:val="en-AU"/>
        </w:rPr>
        <w:t xml:space="preserve">gained in one state/territory </w:t>
      </w:r>
      <w:r w:rsidR="00CF5C38">
        <w:rPr>
          <w:lang w:val="en-AU"/>
        </w:rPr>
        <w:t xml:space="preserve">as a means </w:t>
      </w:r>
      <w:r w:rsidR="009204CE">
        <w:rPr>
          <w:lang w:val="en-AU"/>
        </w:rPr>
        <w:t>to secure a licen</w:t>
      </w:r>
      <w:r w:rsidR="0004166C">
        <w:rPr>
          <w:lang w:val="en-AU"/>
        </w:rPr>
        <w:t>c</w:t>
      </w:r>
      <w:r w:rsidR="009204CE">
        <w:rPr>
          <w:lang w:val="en-AU"/>
        </w:rPr>
        <w:t>e in another state/territory. The clear inference to be drawn from the chronology of events is that Mr Hemmings knowingly omit</w:t>
      </w:r>
      <w:r w:rsidR="005F7CBC">
        <w:rPr>
          <w:lang w:val="en-AU"/>
        </w:rPr>
        <w:t>ted information about his licenc</w:t>
      </w:r>
      <w:r w:rsidR="009204CE">
        <w:rPr>
          <w:lang w:val="en-AU"/>
        </w:rPr>
        <w:t>e</w:t>
      </w:r>
      <w:r w:rsidR="005F7CBC">
        <w:rPr>
          <w:lang w:val="en-AU"/>
        </w:rPr>
        <w:t xml:space="preserve"> in SA, so as to obtain a licenc</w:t>
      </w:r>
      <w:r w:rsidR="009204CE">
        <w:rPr>
          <w:lang w:val="en-AU"/>
        </w:rPr>
        <w:t>e in</w:t>
      </w:r>
      <w:r w:rsidR="00E0305C">
        <w:rPr>
          <w:lang w:val="en-AU"/>
        </w:rPr>
        <w:t xml:space="preserve"> the NT and then to use it to ob</w:t>
      </w:r>
      <w:r w:rsidR="005F7CBC">
        <w:rPr>
          <w:lang w:val="en-AU"/>
        </w:rPr>
        <w:t>tain a licenc</w:t>
      </w:r>
      <w:r w:rsidR="009204CE">
        <w:rPr>
          <w:lang w:val="en-AU"/>
        </w:rPr>
        <w:t>e in Victoria. Mr Hemmings’ submission that he did not intend to provide false or misleading</w:t>
      </w:r>
      <w:r w:rsidR="006008F9">
        <w:rPr>
          <w:lang w:val="en-AU"/>
        </w:rPr>
        <w:t xml:space="preserve"> information is</w:t>
      </w:r>
      <w:r w:rsidR="009204CE">
        <w:rPr>
          <w:lang w:val="en-AU"/>
        </w:rPr>
        <w:t xml:space="preserve"> rejected. The Board finds that he made a false declaration</w:t>
      </w:r>
      <w:r w:rsidR="00E0305C">
        <w:rPr>
          <w:lang w:val="en-AU"/>
        </w:rPr>
        <w:t xml:space="preserve"> in his NT application</w:t>
      </w:r>
      <w:r w:rsidR="006008F9">
        <w:rPr>
          <w:lang w:val="en-AU"/>
        </w:rPr>
        <w:t xml:space="preserve"> </w:t>
      </w:r>
      <w:r w:rsidR="009204CE">
        <w:rPr>
          <w:lang w:val="en-AU"/>
        </w:rPr>
        <w:t>as that declaration stated that the contents of the application were tr</w:t>
      </w:r>
      <w:r w:rsidR="00C778F6">
        <w:rPr>
          <w:lang w:val="en-AU"/>
        </w:rPr>
        <w:t xml:space="preserve">ue and correct. This was false </w:t>
      </w:r>
      <w:r w:rsidR="009204CE">
        <w:rPr>
          <w:lang w:val="en-AU"/>
        </w:rPr>
        <w:t>due to the fact that the application included a false statement.</w:t>
      </w:r>
    </w:p>
    <w:p w14:paraId="1480FD02" w14:textId="77777777" w:rsidR="00782F96" w:rsidRPr="00782F96" w:rsidRDefault="00782F96" w:rsidP="00782F96">
      <w:pPr>
        <w:jc w:val="both"/>
        <w:rPr>
          <w:lang w:val="en-AU"/>
        </w:rPr>
      </w:pPr>
    </w:p>
    <w:p w14:paraId="2A4AD959" w14:textId="77777777" w:rsidR="00782F96" w:rsidRPr="00782F96" w:rsidRDefault="00782F96" w:rsidP="00782F96">
      <w:pPr>
        <w:jc w:val="both"/>
        <w:rPr>
          <w:lang w:val="en-AU"/>
        </w:rPr>
      </w:pPr>
    </w:p>
    <w:p w14:paraId="01C52E96" w14:textId="77777777" w:rsidR="00E0305C" w:rsidRPr="00E0305C" w:rsidRDefault="00E0305C" w:rsidP="00E0305C">
      <w:pPr>
        <w:jc w:val="both"/>
        <w:rPr>
          <w:lang w:val="en-AU"/>
        </w:rPr>
      </w:pPr>
    </w:p>
    <w:p w14:paraId="76464B57" w14:textId="614A0050" w:rsidR="00E0305C" w:rsidRPr="00782F96" w:rsidRDefault="00283E7B" w:rsidP="00283E7B">
      <w:pPr>
        <w:ind w:left="709"/>
        <w:jc w:val="both"/>
        <w:rPr>
          <w:b/>
          <w:lang w:val="en-AU"/>
        </w:rPr>
      </w:pPr>
      <w:r>
        <w:rPr>
          <w:b/>
          <w:lang w:val="en-AU"/>
        </w:rPr>
        <w:t>Matter 3: I</w:t>
      </w:r>
      <w:r w:rsidR="00E0305C" w:rsidRPr="00782F96">
        <w:rPr>
          <w:b/>
          <w:lang w:val="en-AU"/>
        </w:rPr>
        <w:t xml:space="preserve">f Mr Hemmings made a false statement and or declaration, does this constitute a breach of the rules of </w:t>
      </w:r>
      <w:r w:rsidR="00782F96" w:rsidRPr="00782F96">
        <w:rPr>
          <w:b/>
          <w:lang w:val="en-AU"/>
        </w:rPr>
        <w:t>conduct for Agents?</w:t>
      </w:r>
    </w:p>
    <w:p w14:paraId="2E88E64C" w14:textId="77777777" w:rsidR="00DC35A7" w:rsidRPr="0004166C" w:rsidRDefault="00DC35A7" w:rsidP="0004166C">
      <w:pPr>
        <w:jc w:val="both"/>
        <w:rPr>
          <w:lang w:val="en-AU"/>
        </w:rPr>
      </w:pPr>
    </w:p>
    <w:p w14:paraId="72E36B60" w14:textId="4021717A" w:rsidR="00556DEB" w:rsidRDefault="006D0B3D" w:rsidP="00CC13A5">
      <w:pPr>
        <w:pStyle w:val="ListParagraph"/>
        <w:numPr>
          <w:ilvl w:val="0"/>
          <w:numId w:val="1"/>
        </w:numPr>
        <w:jc w:val="both"/>
        <w:rPr>
          <w:lang w:val="en-AU"/>
        </w:rPr>
      </w:pPr>
      <w:r w:rsidRPr="00C37751">
        <w:rPr>
          <w:lang w:val="en-AU"/>
        </w:rPr>
        <w:t>Under s</w:t>
      </w:r>
      <w:r w:rsidR="00283E7B" w:rsidRPr="00C37751">
        <w:rPr>
          <w:lang w:val="en-AU"/>
        </w:rPr>
        <w:t xml:space="preserve">ection </w:t>
      </w:r>
      <w:r w:rsidRPr="00C37751">
        <w:rPr>
          <w:lang w:val="en-AU"/>
        </w:rPr>
        <w:t xml:space="preserve">65 (1) </w:t>
      </w:r>
      <w:r w:rsidR="00C37751" w:rsidRPr="00C37751">
        <w:rPr>
          <w:lang w:val="en-AU"/>
        </w:rPr>
        <w:t>/ (1)</w:t>
      </w:r>
      <w:r w:rsidRPr="00C37751">
        <w:rPr>
          <w:lang w:val="en-AU"/>
        </w:rPr>
        <w:t xml:space="preserve">(a) of the Act a licensed agent who breaches this Act or the regulations, whether or not he or she is found guilty of an offence in respect of the breach, is guilty of a breach of the rules of conduct for </w:t>
      </w:r>
      <w:r w:rsidR="00283E7B" w:rsidRPr="00C37751">
        <w:rPr>
          <w:lang w:val="en-AU"/>
        </w:rPr>
        <w:t>a</w:t>
      </w:r>
      <w:r w:rsidRPr="00C37751">
        <w:rPr>
          <w:lang w:val="en-AU"/>
        </w:rPr>
        <w:t>gents</w:t>
      </w:r>
      <w:r w:rsidRPr="00B650A1">
        <w:rPr>
          <w:lang w:val="en-AU"/>
        </w:rPr>
        <w:t>.</w:t>
      </w:r>
    </w:p>
    <w:p w14:paraId="3E67F897" w14:textId="77777777" w:rsidR="004A7D4D" w:rsidRPr="00B650A1" w:rsidRDefault="004A7D4D" w:rsidP="0004166C">
      <w:pPr>
        <w:jc w:val="both"/>
        <w:rPr>
          <w:lang w:val="en-AU"/>
        </w:rPr>
      </w:pPr>
    </w:p>
    <w:p w14:paraId="63340018" w14:textId="0136BA96" w:rsidR="00AD1391" w:rsidRPr="00C37751" w:rsidRDefault="00AD1391" w:rsidP="00CC13A5">
      <w:pPr>
        <w:pStyle w:val="ListParagraph"/>
        <w:numPr>
          <w:ilvl w:val="0"/>
          <w:numId w:val="1"/>
        </w:numPr>
        <w:jc w:val="both"/>
        <w:rPr>
          <w:lang w:val="en-AU"/>
        </w:rPr>
      </w:pPr>
      <w:r w:rsidRPr="00C37751">
        <w:rPr>
          <w:lang w:val="en-AU"/>
        </w:rPr>
        <w:t xml:space="preserve">Making a false statement/declaration does constitute a breach of the Act and </w:t>
      </w:r>
      <w:r w:rsidR="00283E7B" w:rsidRPr="00C37751">
        <w:rPr>
          <w:lang w:val="en-AU"/>
        </w:rPr>
        <w:t>hence the rules of conduct for a</w:t>
      </w:r>
      <w:r w:rsidRPr="00C37751">
        <w:rPr>
          <w:lang w:val="en-AU"/>
        </w:rPr>
        <w:t xml:space="preserve">gents. </w:t>
      </w:r>
    </w:p>
    <w:p w14:paraId="35B88668" w14:textId="77777777" w:rsidR="004A7D4D" w:rsidRPr="00C37751" w:rsidRDefault="004A7D4D" w:rsidP="004A7D4D">
      <w:pPr>
        <w:jc w:val="both"/>
        <w:rPr>
          <w:lang w:val="en-AU"/>
        </w:rPr>
      </w:pPr>
    </w:p>
    <w:p w14:paraId="26E43157" w14:textId="3F821187" w:rsidR="00A54916" w:rsidRPr="00C37751" w:rsidRDefault="00B650A1" w:rsidP="00CC13A5">
      <w:pPr>
        <w:pStyle w:val="ListParagraph"/>
        <w:numPr>
          <w:ilvl w:val="0"/>
          <w:numId w:val="1"/>
        </w:numPr>
        <w:jc w:val="both"/>
        <w:rPr>
          <w:lang w:val="en-AU"/>
        </w:rPr>
      </w:pPr>
      <w:r w:rsidRPr="00C37751">
        <w:rPr>
          <w:lang w:val="en-AU"/>
        </w:rPr>
        <w:t xml:space="preserve">The Board is satisfied that </w:t>
      </w:r>
      <w:r w:rsidR="00A54916" w:rsidRPr="00C37751">
        <w:rPr>
          <w:lang w:val="en-AU"/>
        </w:rPr>
        <w:t xml:space="preserve">Mr Hemmings </w:t>
      </w:r>
      <w:r w:rsidR="00A8170F" w:rsidRPr="00C37751">
        <w:rPr>
          <w:lang w:val="en-AU"/>
        </w:rPr>
        <w:t>has breached</w:t>
      </w:r>
      <w:r w:rsidR="00AD1391" w:rsidRPr="00C37751">
        <w:rPr>
          <w:lang w:val="en-AU"/>
        </w:rPr>
        <w:t xml:space="preserve"> </w:t>
      </w:r>
      <w:r w:rsidRPr="00C37751">
        <w:rPr>
          <w:lang w:val="en-AU"/>
        </w:rPr>
        <w:t xml:space="preserve">the Act and hence </w:t>
      </w:r>
      <w:r w:rsidR="00AD1391" w:rsidRPr="00C37751">
        <w:rPr>
          <w:lang w:val="en-AU"/>
        </w:rPr>
        <w:t xml:space="preserve">the rules of </w:t>
      </w:r>
      <w:r w:rsidR="00300748" w:rsidRPr="00C37751">
        <w:rPr>
          <w:lang w:val="en-AU"/>
        </w:rPr>
        <w:t>conduct for Agents.</w:t>
      </w:r>
    </w:p>
    <w:p w14:paraId="24C2C909" w14:textId="77777777" w:rsidR="00B650A1" w:rsidRPr="00B650A1" w:rsidRDefault="00B650A1" w:rsidP="0004166C">
      <w:pPr>
        <w:jc w:val="both"/>
        <w:rPr>
          <w:lang w:val="en-AU"/>
        </w:rPr>
      </w:pPr>
    </w:p>
    <w:p w14:paraId="5D504DCB" w14:textId="77777777" w:rsidR="00300748" w:rsidRPr="0004166C" w:rsidRDefault="00300748" w:rsidP="00300748">
      <w:pPr>
        <w:jc w:val="both"/>
        <w:rPr>
          <w:lang w:val="en-AU"/>
        </w:rPr>
      </w:pPr>
    </w:p>
    <w:p w14:paraId="30383FF2" w14:textId="04C2FF12" w:rsidR="00300748" w:rsidRPr="00B650A1" w:rsidRDefault="00300748" w:rsidP="00283E7B">
      <w:pPr>
        <w:ind w:left="709"/>
        <w:jc w:val="both"/>
        <w:rPr>
          <w:b/>
          <w:lang w:val="en-AU"/>
        </w:rPr>
      </w:pPr>
      <w:r w:rsidRPr="00B650A1">
        <w:rPr>
          <w:b/>
          <w:lang w:val="en-AU"/>
        </w:rPr>
        <w:t xml:space="preserve">Matter 4: </w:t>
      </w:r>
      <w:r w:rsidR="00283E7B">
        <w:rPr>
          <w:b/>
          <w:lang w:val="en-AU"/>
        </w:rPr>
        <w:t>Was the licenc</w:t>
      </w:r>
      <w:r w:rsidR="00B650A1" w:rsidRPr="00B650A1">
        <w:rPr>
          <w:b/>
          <w:lang w:val="en-AU"/>
        </w:rPr>
        <w:t>e granted to Mr Hemmings obtained by misrepresentation or a false or misleading statement?</w:t>
      </w:r>
    </w:p>
    <w:p w14:paraId="7BE7422E" w14:textId="77777777" w:rsidR="00B650A1" w:rsidRPr="00B650A1" w:rsidRDefault="00B650A1" w:rsidP="00300748">
      <w:pPr>
        <w:jc w:val="both"/>
        <w:rPr>
          <w:b/>
          <w:lang w:val="en-AU"/>
        </w:rPr>
      </w:pPr>
    </w:p>
    <w:p w14:paraId="175A1FE6" w14:textId="1CAE43B7" w:rsidR="00556DEB" w:rsidRDefault="00A96353" w:rsidP="002F4C20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t>If Mr Hemmings had</w:t>
      </w:r>
      <w:r w:rsidR="002F4C20">
        <w:rPr>
          <w:lang w:val="en-AU"/>
        </w:rPr>
        <w:t xml:space="preserve"> accurately filled out the applicat</w:t>
      </w:r>
      <w:r>
        <w:rPr>
          <w:lang w:val="en-AU"/>
        </w:rPr>
        <w:t>ion form for his NT licen</w:t>
      </w:r>
      <w:r w:rsidR="00283E7B">
        <w:rPr>
          <w:lang w:val="en-AU"/>
        </w:rPr>
        <w:t>c</w:t>
      </w:r>
      <w:r>
        <w:rPr>
          <w:lang w:val="en-AU"/>
        </w:rPr>
        <w:t>e, by stating</w:t>
      </w:r>
      <w:r w:rsidR="002F4C20">
        <w:rPr>
          <w:lang w:val="en-AU"/>
        </w:rPr>
        <w:t xml:space="preserve"> that he had previously held a licen</w:t>
      </w:r>
      <w:r w:rsidR="00283E7B">
        <w:rPr>
          <w:lang w:val="en-AU"/>
        </w:rPr>
        <w:t>c</w:t>
      </w:r>
      <w:r w:rsidR="002F4C20">
        <w:rPr>
          <w:lang w:val="en-AU"/>
        </w:rPr>
        <w:t xml:space="preserve">e under a corresponding law in another State, he was then obliged to provide details of that </w:t>
      </w:r>
      <w:r w:rsidR="00CF5C38">
        <w:rPr>
          <w:lang w:val="en-AU"/>
        </w:rPr>
        <w:t xml:space="preserve">SA </w:t>
      </w:r>
      <w:r w:rsidR="002F4C20">
        <w:rPr>
          <w:lang w:val="en-AU"/>
        </w:rPr>
        <w:t>licen</w:t>
      </w:r>
      <w:r w:rsidR="00283E7B">
        <w:rPr>
          <w:lang w:val="en-AU"/>
        </w:rPr>
        <w:t>c</w:t>
      </w:r>
      <w:r w:rsidR="002F4C20">
        <w:rPr>
          <w:lang w:val="en-AU"/>
        </w:rPr>
        <w:t>e. This would have meant that the NT regulator would ha</w:t>
      </w:r>
      <w:r w:rsidR="00283E7B">
        <w:rPr>
          <w:lang w:val="en-AU"/>
        </w:rPr>
        <w:t>ve discovered that his SA licenc</w:t>
      </w:r>
      <w:r w:rsidR="002F4C20">
        <w:rPr>
          <w:lang w:val="en-AU"/>
        </w:rPr>
        <w:t>e had been cancelled</w:t>
      </w:r>
      <w:r w:rsidR="00CF5C38">
        <w:rPr>
          <w:lang w:val="en-AU"/>
        </w:rPr>
        <w:t>- and the reasons for this cancellation</w:t>
      </w:r>
      <w:r w:rsidR="002F4C20">
        <w:rPr>
          <w:lang w:val="en-AU"/>
        </w:rPr>
        <w:t>. The result of t</w:t>
      </w:r>
      <w:r w:rsidR="00283E7B">
        <w:rPr>
          <w:lang w:val="en-AU"/>
        </w:rPr>
        <w:t>his would have led to his licenc</w:t>
      </w:r>
      <w:r w:rsidR="002F4C20">
        <w:rPr>
          <w:lang w:val="en-AU"/>
        </w:rPr>
        <w:t>e application being reject</w:t>
      </w:r>
      <w:r w:rsidR="00CF5C38">
        <w:rPr>
          <w:lang w:val="en-AU"/>
        </w:rPr>
        <w:t>ed in the NT</w:t>
      </w:r>
      <w:r w:rsidR="002F4C20">
        <w:rPr>
          <w:lang w:val="en-AU"/>
        </w:rPr>
        <w:t>. Hence, answering ‘no’ at question 7 was of material significance in securing the NT licen</w:t>
      </w:r>
      <w:r w:rsidR="00283E7B">
        <w:rPr>
          <w:lang w:val="en-AU"/>
        </w:rPr>
        <w:t>c</w:t>
      </w:r>
      <w:r w:rsidR="002F4C20">
        <w:rPr>
          <w:lang w:val="en-AU"/>
        </w:rPr>
        <w:t>e. It concealed the egregious</w:t>
      </w:r>
      <w:r>
        <w:rPr>
          <w:lang w:val="en-AU"/>
        </w:rPr>
        <w:t xml:space="preserve"> reality of what had occurred with regard to his </w:t>
      </w:r>
      <w:r w:rsidR="002F4C20">
        <w:rPr>
          <w:lang w:val="en-AU"/>
        </w:rPr>
        <w:t>SA</w:t>
      </w:r>
      <w:r w:rsidR="00283E7B">
        <w:rPr>
          <w:lang w:val="en-AU"/>
        </w:rPr>
        <w:t xml:space="preserve"> licenc</w:t>
      </w:r>
      <w:r>
        <w:rPr>
          <w:lang w:val="en-AU"/>
        </w:rPr>
        <w:t>e</w:t>
      </w:r>
      <w:r w:rsidR="002F4C20">
        <w:rPr>
          <w:lang w:val="en-AU"/>
        </w:rPr>
        <w:t xml:space="preserve">. The Board is satisfied that Mr Hemmings answered ‘no’ </w:t>
      </w:r>
      <w:r>
        <w:rPr>
          <w:lang w:val="en-AU"/>
        </w:rPr>
        <w:t xml:space="preserve">at question 7 </w:t>
      </w:r>
      <w:r w:rsidR="002F4C20">
        <w:rPr>
          <w:lang w:val="en-AU"/>
        </w:rPr>
        <w:t xml:space="preserve">in order to conceal this information. The </w:t>
      </w:r>
      <w:r w:rsidR="00D1687D">
        <w:rPr>
          <w:lang w:val="en-AU"/>
        </w:rPr>
        <w:t xml:space="preserve">NT </w:t>
      </w:r>
      <w:r>
        <w:rPr>
          <w:lang w:val="en-AU"/>
        </w:rPr>
        <w:t>licence was</w:t>
      </w:r>
      <w:r w:rsidR="002F4C20">
        <w:rPr>
          <w:lang w:val="en-AU"/>
        </w:rPr>
        <w:t xml:space="preserve"> </w:t>
      </w:r>
      <w:r w:rsidR="00283E7B">
        <w:rPr>
          <w:lang w:val="en-AU"/>
        </w:rPr>
        <w:t xml:space="preserve">obtained as a result of a </w:t>
      </w:r>
      <w:r w:rsidR="002F4C20">
        <w:rPr>
          <w:lang w:val="en-AU"/>
        </w:rPr>
        <w:t xml:space="preserve">false or misleading statement. </w:t>
      </w:r>
    </w:p>
    <w:p w14:paraId="7B524341" w14:textId="77777777" w:rsidR="006008F9" w:rsidRDefault="006008F9" w:rsidP="002F4C20">
      <w:pPr>
        <w:jc w:val="both"/>
        <w:rPr>
          <w:b/>
          <w:lang w:val="en-AU"/>
        </w:rPr>
      </w:pPr>
    </w:p>
    <w:p w14:paraId="17835B77" w14:textId="77777777" w:rsidR="00A85C69" w:rsidRDefault="00A85C69" w:rsidP="002F4C20">
      <w:pPr>
        <w:jc w:val="both"/>
        <w:rPr>
          <w:b/>
          <w:lang w:val="en-AU"/>
        </w:rPr>
      </w:pPr>
    </w:p>
    <w:p w14:paraId="631AD69E" w14:textId="2B633209" w:rsidR="002F4C20" w:rsidRPr="002F4C20" w:rsidRDefault="00BC0BB1" w:rsidP="002F4C20">
      <w:pPr>
        <w:jc w:val="both"/>
        <w:rPr>
          <w:b/>
          <w:lang w:val="en-AU"/>
        </w:rPr>
      </w:pPr>
      <w:r>
        <w:rPr>
          <w:b/>
          <w:lang w:val="en-AU"/>
        </w:rPr>
        <w:t>PART E</w:t>
      </w:r>
      <w:r w:rsidR="002F4C20" w:rsidRPr="002F4C20">
        <w:rPr>
          <w:b/>
          <w:lang w:val="en-AU"/>
        </w:rPr>
        <w:t>: CONCLUSION</w:t>
      </w:r>
      <w:r w:rsidR="00B84FC6">
        <w:rPr>
          <w:b/>
          <w:lang w:val="en-AU"/>
        </w:rPr>
        <w:t>- SANCTION</w:t>
      </w:r>
    </w:p>
    <w:p w14:paraId="17A860E4" w14:textId="77777777" w:rsidR="002F4C20" w:rsidRDefault="002F4C20" w:rsidP="002F4C20">
      <w:pPr>
        <w:jc w:val="both"/>
        <w:rPr>
          <w:lang w:val="en-AU"/>
        </w:rPr>
      </w:pPr>
    </w:p>
    <w:p w14:paraId="7112946C" w14:textId="014DD5F2" w:rsidR="002F4C20" w:rsidRDefault="002F4C20" w:rsidP="002F4C20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t>Under s</w:t>
      </w:r>
      <w:r w:rsidR="00283E7B">
        <w:rPr>
          <w:lang w:val="en-AU"/>
        </w:rPr>
        <w:t>ection</w:t>
      </w:r>
      <w:r>
        <w:rPr>
          <w:lang w:val="en-AU"/>
        </w:rPr>
        <w:t xml:space="preserve"> 67 of the Act the </w:t>
      </w:r>
      <w:r w:rsidR="00365D55">
        <w:rPr>
          <w:lang w:val="en-AU"/>
        </w:rPr>
        <w:t>Board may</w:t>
      </w:r>
      <w:r>
        <w:rPr>
          <w:lang w:val="en-AU"/>
        </w:rPr>
        <w:t xml:space="preserve"> take disciplinary acti</w:t>
      </w:r>
      <w:r w:rsidR="00283E7B">
        <w:rPr>
          <w:lang w:val="en-AU"/>
        </w:rPr>
        <w:t>on if, relevantly, the licenc</w:t>
      </w:r>
      <w:r w:rsidR="0009010B">
        <w:rPr>
          <w:lang w:val="en-AU"/>
        </w:rPr>
        <w:t xml:space="preserve">e was obtained by a misrepresentation or a false or misleading </w:t>
      </w:r>
      <w:r w:rsidR="0009010B">
        <w:rPr>
          <w:lang w:val="en-AU"/>
        </w:rPr>
        <w:lastRenderedPageBreak/>
        <w:t xml:space="preserve">statement. For the reasons </w:t>
      </w:r>
      <w:r w:rsidR="00B84FC6">
        <w:rPr>
          <w:lang w:val="en-AU"/>
        </w:rPr>
        <w:t xml:space="preserve">specified </w:t>
      </w:r>
      <w:r w:rsidR="0009010B">
        <w:rPr>
          <w:lang w:val="en-AU"/>
        </w:rPr>
        <w:t xml:space="preserve">in the immediately preceding paragraph the </w:t>
      </w:r>
      <w:r w:rsidR="00365D55">
        <w:rPr>
          <w:lang w:val="en-AU"/>
        </w:rPr>
        <w:t xml:space="preserve">Board is satisfied that it is authorised to </w:t>
      </w:r>
      <w:r w:rsidR="0009010B">
        <w:rPr>
          <w:lang w:val="en-AU"/>
        </w:rPr>
        <w:t>take disciplinary action due to the finding of a breach of s</w:t>
      </w:r>
      <w:r w:rsidR="00283E7B">
        <w:rPr>
          <w:lang w:val="en-AU"/>
        </w:rPr>
        <w:t>ection</w:t>
      </w:r>
      <w:r w:rsidR="0009010B">
        <w:rPr>
          <w:lang w:val="en-AU"/>
        </w:rPr>
        <w:t xml:space="preserve"> 67 (1) (a) of the Act. </w:t>
      </w:r>
    </w:p>
    <w:p w14:paraId="387D6A68" w14:textId="77777777" w:rsidR="004A7D4D" w:rsidRDefault="004A7D4D" w:rsidP="004A7D4D">
      <w:pPr>
        <w:pStyle w:val="ListParagraph"/>
        <w:ind w:left="1080"/>
        <w:jc w:val="both"/>
        <w:rPr>
          <w:lang w:val="en-AU"/>
        </w:rPr>
      </w:pPr>
    </w:p>
    <w:p w14:paraId="6E526E0F" w14:textId="7609947F" w:rsidR="00302765" w:rsidRDefault="00365D55" w:rsidP="00DB4022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t>Under s</w:t>
      </w:r>
      <w:r w:rsidR="00283E7B">
        <w:rPr>
          <w:lang w:val="en-AU"/>
        </w:rPr>
        <w:t>ection</w:t>
      </w:r>
      <w:r>
        <w:rPr>
          <w:lang w:val="en-AU"/>
        </w:rPr>
        <w:t xml:space="preserve"> 69 of the Act, if the Board is</w:t>
      </w:r>
      <w:r w:rsidR="00137699">
        <w:rPr>
          <w:lang w:val="en-AU"/>
        </w:rPr>
        <w:t>,</w:t>
      </w:r>
      <w:r>
        <w:rPr>
          <w:lang w:val="en-AU"/>
        </w:rPr>
        <w:t xml:space="preserve"> at the conclusion of the inquiry conducted pursuant to section 68 (4) of the Act</w:t>
      </w:r>
      <w:r w:rsidR="00137699">
        <w:rPr>
          <w:lang w:val="en-AU"/>
        </w:rPr>
        <w:t xml:space="preserve">, </w:t>
      </w:r>
      <w:r>
        <w:rPr>
          <w:lang w:val="en-AU"/>
        </w:rPr>
        <w:t xml:space="preserve"> satisfied that it is authorised to take disciplinary action, it may deal with a licensed agent in a number of ways that are specifi</w:t>
      </w:r>
      <w:r w:rsidR="00C439CF">
        <w:rPr>
          <w:lang w:val="en-AU"/>
        </w:rPr>
        <w:t>ed at section 67 (a)-(d). G</w:t>
      </w:r>
      <w:r>
        <w:rPr>
          <w:lang w:val="en-AU"/>
        </w:rPr>
        <w:t xml:space="preserve">iven the facts and circumstances involved in this case, the Board </w:t>
      </w:r>
      <w:r w:rsidR="00291B72">
        <w:rPr>
          <w:lang w:val="en-AU"/>
        </w:rPr>
        <w:t>has decided to revoke the licenc</w:t>
      </w:r>
      <w:r>
        <w:rPr>
          <w:lang w:val="en-AU"/>
        </w:rPr>
        <w:t xml:space="preserve">e of this agent. </w:t>
      </w:r>
      <w:r w:rsidR="00D1687D">
        <w:rPr>
          <w:lang w:val="en-AU"/>
        </w:rPr>
        <w:t xml:space="preserve">It is important to outline the principles relevant to this outcome. </w:t>
      </w:r>
      <w:r>
        <w:rPr>
          <w:lang w:val="en-AU"/>
        </w:rPr>
        <w:t>The Board must rely on the veracity of the information contained in applications</w:t>
      </w:r>
      <w:r w:rsidR="00C439CF">
        <w:rPr>
          <w:lang w:val="en-AU"/>
        </w:rPr>
        <w:t xml:space="preserve"> for a licen</w:t>
      </w:r>
      <w:r w:rsidR="00291B72">
        <w:rPr>
          <w:lang w:val="en-AU"/>
        </w:rPr>
        <w:t>c</w:t>
      </w:r>
      <w:r w:rsidR="00C439CF">
        <w:rPr>
          <w:lang w:val="en-AU"/>
        </w:rPr>
        <w:t>e</w:t>
      </w:r>
      <w:r>
        <w:rPr>
          <w:lang w:val="en-AU"/>
        </w:rPr>
        <w:t xml:space="preserve">. </w:t>
      </w:r>
      <w:r w:rsidR="00DB4022">
        <w:rPr>
          <w:lang w:val="en-AU"/>
        </w:rPr>
        <w:t>The public demands that</w:t>
      </w:r>
      <w:r w:rsidR="00A96353">
        <w:rPr>
          <w:lang w:val="en-AU"/>
        </w:rPr>
        <w:t xml:space="preserve"> in return for the</w:t>
      </w:r>
      <w:r w:rsidR="00DB4022">
        <w:rPr>
          <w:lang w:val="en-AU"/>
        </w:rPr>
        <w:t xml:space="preserve"> </w:t>
      </w:r>
      <w:r w:rsidR="00D1687D">
        <w:rPr>
          <w:lang w:val="en-AU"/>
        </w:rPr>
        <w:t>si</w:t>
      </w:r>
      <w:r w:rsidR="00A96353">
        <w:rPr>
          <w:lang w:val="en-AU"/>
        </w:rPr>
        <w:t>gnificant trust</w:t>
      </w:r>
      <w:r w:rsidR="00D1687D">
        <w:rPr>
          <w:lang w:val="en-AU"/>
        </w:rPr>
        <w:t xml:space="preserve"> reposed in </w:t>
      </w:r>
      <w:r w:rsidR="00B84FC6">
        <w:rPr>
          <w:lang w:val="en-AU"/>
        </w:rPr>
        <w:t xml:space="preserve">real estate </w:t>
      </w:r>
      <w:r w:rsidR="00D1687D">
        <w:rPr>
          <w:lang w:val="en-AU"/>
        </w:rPr>
        <w:t xml:space="preserve">agents </w:t>
      </w:r>
      <w:r w:rsidR="00A96353">
        <w:rPr>
          <w:lang w:val="en-AU"/>
        </w:rPr>
        <w:t xml:space="preserve">that they can be relied upon to act honestly in all aspects of their dealings with the </w:t>
      </w:r>
      <w:r w:rsidR="00B84FC6">
        <w:rPr>
          <w:lang w:val="en-AU"/>
        </w:rPr>
        <w:t xml:space="preserve">public. This is </w:t>
      </w:r>
      <w:r w:rsidR="00A96353">
        <w:rPr>
          <w:lang w:val="en-AU"/>
        </w:rPr>
        <w:t xml:space="preserve">particularly </w:t>
      </w:r>
      <w:r w:rsidR="00B84FC6">
        <w:rPr>
          <w:lang w:val="en-AU"/>
        </w:rPr>
        <w:t xml:space="preserve">important </w:t>
      </w:r>
      <w:r w:rsidR="00D1687D">
        <w:rPr>
          <w:lang w:val="en-AU"/>
        </w:rPr>
        <w:t xml:space="preserve">given that </w:t>
      </w:r>
      <w:r w:rsidR="00A96353">
        <w:rPr>
          <w:lang w:val="en-AU"/>
        </w:rPr>
        <w:t xml:space="preserve">agents frequently deal with items of significant </w:t>
      </w:r>
      <w:r w:rsidR="00DB4022">
        <w:rPr>
          <w:lang w:val="en-AU"/>
        </w:rPr>
        <w:t>financial significance</w:t>
      </w:r>
      <w:r w:rsidR="00D1687D">
        <w:rPr>
          <w:lang w:val="en-AU"/>
        </w:rPr>
        <w:t xml:space="preserve">- </w:t>
      </w:r>
      <w:r w:rsidR="00D87D0F">
        <w:rPr>
          <w:lang w:val="en-AU"/>
        </w:rPr>
        <w:t xml:space="preserve">often </w:t>
      </w:r>
      <w:r w:rsidR="00644942">
        <w:rPr>
          <w:lang w:val="en-AU"/>
        </w:rPr>
        <w:t>the principal asset</w:t>
      </w:r>
      <w:r w:rsidR="00A96353">
        <w:rPr>
          <w:lang w:val="en-AU"/>
        </w:rPr>
        <w:t xml:space="preserve"> of a person</w:t>
      </w:r>
      <w:r w:rsidR="004A7D4D">
        <w:rPr>
          <w:lang w:val="en-AU"/>
        </w:rPr>
        <w:t xml:space="preserve">. </w:t>
      </w:r>
      <w:r w:rsidR="00C778F6">
        <w:rPr>
          <w:lang w:val="en-AU"/>
        </w:rPr>
        <w:t>Mr </w:t>
      </w:r>
      <w:r w:rsidR="00DB4022">
        <w:rPr>
          <w:lang w:val="en-AU"/>
        </w:rPr>
        <w:t>Hemmings’</w:t>
      </w:r>
      <w:r w:rsidR="00A96353">
        <w:rPr>
          <w:lang w:val="en-AU"/>
        </w:rPr>
        <w:t xml:space="preserve"> con</w:t>
      </w:r>
      <w:r w:rsidR="0090447A">
        <w:rPr>
          <w:lang w:val="en-AU"/>
        </w:rPr>
        <w:t>duct is fundamentally inconsistent with the trust obligations of a real estate agent</w:t>
      </w:r>
      <w:r w:rsidR="00DB4022">
        <w:rPr>
          <w:lang w:val="en-AU"/>
        </w:rPr>
        <w:t xml:space="preserve">; his cause is not assisted by a history of twice </w:t>
      </w:r>
      <w:r w:rsidR="009218AC">
        <w:rPr>
          <w:lang w:val="en-AU"/>
        </w:rPr>
        <w:t xml:space="preserve">previously </w:t>
      </w:r>
      <w:r w:rsidR="00DB4022">
        <w:rPr>
          <w:lang w:val="en-AU"/>
        </w:rPr>
        <w:t>making false or misleading statements in SA</w:t>
      </w:r>
      <w:r w:rsidR="00C439CF">
        <w:rPr>
          <w:lang w:val="en-AU"/>
        </w:rPr>
        <w:t xml:space="preserve"> in similar applications and pleading a very simi</w:t>
      </w:r>
      <w:r w:rsidR="004A7D4D">
        <w:rPr>
          <w:lang w:val="en-AU"/>
        </w:rPr>
        <w:t xml:space="preserve">lar defence </w:t>
      </w:r>
      <w:r w:rsidR="005A0420">
        <w:rPr>
          <w:lang w:val="en-AU"/>
        </w:rPr>
        <w:t>when answers were requested of</w:t>
      </w:r>
      <w:r w:rsidR="004A7D4D">
        <w:rPr>
          <w:lang w:val="en-AU"/>
        </w:rPr>
        <w:t xml:space="preserve"> him</w:t>
      </w:r>
      <w:r w:rsidR="00644942">
        <w:rPr>
          <w:lang w:val="en-AU"/>
        </w:rPr>
        <w:t xml:space="preserve"> by the Regulator</w:t>
      </w:r>
      <w:r w:rsidR="00DB4022">
        <w:rPr>
          <w:lang w:val="en-AU"/>
        </w:rPr>
        <w:t xml:space="preserve">. </w:t>
      </w:r>
      <w:r w:rsidR="00644942">
        <w:rPr>
          <w:lang w:val="en-AU"/>
        </w:rPr>
        <w:t>The Board</w:t>
      </w:r>
      <w:r w:rsidR="0090447A">
        <w:rPr>
          <w:lang w:val="en-AU"/>
        </w:rPr>
        <w:t>’s func</w:t>
      </w:r>
      <w:r w:rsidR="0016736F">
        <w:rPr>
          <w:lang w:val="en-AU"/>
        </w:rPr>
        <w:t>tion</w:t>
      </w:r>
      <w:r w:rsidR="00F12E0F">
        <w:rPr>
          <w:lang w:val="en-AU"/>
        </w:rPr>
        <w:t>s</w:t>
      </w:r>
      <w:r w:rsidR="0016736F">
        <w:rPr>
          <w:lang w:val="en-AU"/>
        </w:rPr>
        <w:t xml:space="preserve"> in terms of the imposition</w:t>
      </w:r>
      <w:r w:rsidR="0090447A">
        <w:rPr>
          <w:lang w:val="en-AU"/>
        </w:rPr>
        <w:t xml:space="preserve"> of a sanction</w:t>
      </w:r>
      <w:r w:rsidR="00644942">
        <w:rPr>
          <w:lang w:val="en-AU"/>
        </w:rPr>
        <w:t xml:space="preserve"> in a case su</w:t>
      </w:r>
      <w:r w:rsidR="00A9562F">
        <w:rPr>
          <w:lang w:val="en-AU"/>
        </w:rPr>
        <w:t xml:space="preserve">ch as this is, </w:t>
      </w:r>
      <w:r w:rsidR="006846AE">
        <w:rPr>
          <w:lang w:val="en-AU"/>
        </w:rPr>
        <w:t xml:space="preserve">are </w:t>
      </w:r>
      <w:r w:rsidR="00A9562F">
        <w:rPr>
          <w:lang w:val="en-AU"/>
        </w:rPr>
        <w:t>to a considerable extent,</w:t>
      </w:r>
      <w:r w:rsidR="00644942">
        <w:rPr>
          <w:lang w:val="en-AU"/>
        </w:rPr>
        <w:t xml:space="preserve"> protective of the public. </w:t>
      </w:r>
      <w:r w:rsidR="00D87D0F">
        <w:rPr>
          <w:lang w:val="en-AU"/>
        </w:rPr>
        <w:t>The Board is aware that a decision to deny a person of their income or livelihood sh</w:t>
      </w:r>
      <w:r w:rsidR="006846AE">
        <w:rPr>
          <w:lang w:val="en-AU"/>
        </w:rPr>
        <w:t>ould only be made where there i</w:t>
      </w:r>
      <w:r w:rsidR="00D87D0F">
        <w:rPr>
          <w:lang w:val="en-AU"/>
        </w:rPr>
        <w:t xml:space="preserve">s no other lesser but appropriate sanction available. </w:t>
      </w:r>
      <w:r w:rsidR="00644942">
        <w:rPr>
          <w:lang w:val="en-AU"/>
        </w:rPr>
        <w:t>I</w:t>
      </w:r>
      <w:r w:rsidR="00DB4022">
        <w:rPr>
          <w:lang w:val="en-AU"/>
        </w:rPr>
        <w:t>n the circumstances</w:t>
      </w:r>
      <w:r w:rsidR="00B84FC6">
        <w:rPr>
          <w:lang w:val="en-AU"/>
        </w:rPr>
        <w:t xml:space="preserve">, given </w:t>
      </w:r>
      <w:r w:rsidR="006846AE">
        <w:rPr>
          <w:lang w:val="en-AU"/>
        </w:rPr>
        <w:t>the nature of the offending</w:t>
      </w:r>
      <w:r w:rsidR="00B84FC6">
        <w:rPr>
          <w:lang w:val="en-AU"/>
        </w:rPr>
        <w:t xml:space="preserve">, </w:t>
      </w:r>
      <w:r w:rsidR="00DB4022">
        <w:rPr>
          <w:lang w:val="en-AU"/>
        </w:rPr>
        <w:t xml:space="preserve"> there can be no alternative but revocation of his </w:t>
      </w:r>
      <w:r w:rsidR="00A9562F">
        <w:rPr>
          <w:lang w:val="en-AU"/>
        </w:rPr>
        <w:t xml:space="preserve">real estate </w:t>
      </w:r>
      <w:r w:rsidR="00DB4022">
        <w:rPr>
          <w:lang w:val="en-AU"/>
        </w:rPr>
        <w:t>licen</w:t>
      </w:r>
      <w:r w:rsidR="00291B72">
        <w:rPr>
          <w:lang w:val="en-AU"/>
        </w:rPr>
        <w:t>c</w:t>
      </w:r>
      <w:r w:rsidR="00DB4022">
        <w:rPr>
          <w:lang w:val="en-AU"/>
        </w:rPr>
        <w:t>e pursuant to section 69 (1) (d) of the Act.</w:t>
      </w:r>
    </w:p>
    <w:p w14:paraId="340FA374" w14:textId="77777777" w:rsidR="009218AC" w:rsidRDefault="009218AC" w:rsidP="009218AC">
      <w:pPr>
        <w:pStyle w:val="ListParagraph"/>
        <w:ind w:left="1080"/>
        <w:jc w:val="both"/>
        <w:rPr>
          <w:lang w:val="en-AU"/>
        </w:rPr>
      </w:pPr>
    </w:p>
    <w:p w14:paraId="217E4EBD" w14:textId="4833144D" w:rsidR="009218AC" w:rsidRDefault="00B84FC6" w:rsidP="00DB4022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t>The Board has</w:t>
      </w:r>
      <w:r w:rsidR="009218AC">
        <w:rPr>
          <w:lang w:val="en-AU"/>
        </w:rPr>
        <w:t xml:space="preserve"> the power, pursuant to section 69 (5) of the Act to specify a period that shall elapse or impose a condition that shall be fulfilled before the person formerly licen</w:t>
      </w:r>
      <w:r w:rsidR="00291B72">
        <w:rPr>
          <w:lang w:val="en-AU"/>
        </w:rPr>
        <w:t>sed may apply again for a licenc</w:t>
      </w:r>
      <w:r w:rsidR="009218AC">
        <w:rPr>
          <w:lang w:val="en-AU"/>
        </w:rPr>
        <w:t>e.</w:t>
      </w:r>
    </w:p>
    <w:p w14:paraId="56FE6AE3" w14:textId="77777777" w:rsidR="009218AC" w:rsidRDefault="009218AC" w:rsidP="009218AC">
      <w:pPr>
        <w:pStyle w:val="ListParagraph"/>
        <w:ind w:left="1080"/>
        <w:jc w:val="both"/>
        <w:rPr>
          <w:lang w:val="en-AU"/>
        </w:rPr>
      </w:pPr>
    </w:p>
    <w:p w14:paraId="0ECEF4AC" w14:textId="1AD828C8" w:rsidR="009218AC" w:rsidRDefault="009218AC" w:rsidP="009218AC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t xml:space="preserve">The Board </w:t>
      </w:r>
      <w:r w:rsidR="00B84FC6">
        <w:rPr>
          <w:lang w:val="en-AU"/>
        </w:rPr>
        <w:t xml:space="preserve">has </w:t>
      </w:r>
      <w:r>
        <w:rPr>
          <w:lang w:val="en-AU"/>
        </w:rPr>
        <w:t xml:space="preserve">decided to not specify such a period or impose such a condition. Instead, the Board </w:t>
      </w:r>
      <w:r w:rsidR="00B84FC6">
        <w:rPr>
          <w:lang w:val="en-AU"/>
        </w:rPr>
        <w:t xml:space="preserve">has </w:t>
      </w:r>
      <w:r>
        <w:rPr>
          <w:lang w:val="en-AU"/>
        </w:rPr>
        <w:t>determined that the provisions of section 69 (7) of the Act should apply. That sub-section provides:</w:t>
      </w:r>
    </w:p>
    <w:p w14:paraId="7C8128AF" w14:textId="77777777" w:rsidR="009218AC" w:rsidRDefault="009218AC" w:rsidP="009218AC">
      <w:pPr>
        <w:pStyle w:val="ListParagraph"/>
        <w:ind w:left="1080"/>
        <w:jc w:val="both"/>
        <w:rPr>
          <w:lang w:val="en-AU"/>
        </w:rPr>
      </w:pPr>
    </w:p>
    <w:p w14:paraId="3FD37567" w14:textId="4A6EF54B" w:rsidR="009218AC" w:rsidRPr="009218AC" w:rsidRDefault="009218AC" w:rsidP="009218AC">
      <w:pPr>
        <w:pStyle w:val="ListParagraph"/>
        <w:ind w:left="1440"/>
        <w:jc w:val="both"/>
        <w:rPr>
          <w:i/>
          <w:lang w:val="en-AU"/>
        </w:rPr>
      </w:pPr>
      <w:r w:rsidRPr="009218AC">
        <w:rPr>
          <w:i/>
          <w:lang w:val="en-AU"/>
        </w:rPr>
        <w:t>“(7) Where the Board revokes a licen</w:t>
      </w:r>
      <w:r w:rsidR="00291B72">
        <w:rPr>
          <w:i/>
          <w:lang w:val="en-AU"/>
        </w:rPr>
        <w:t>c</w:t>
      </w:r>
      <w:r w:rsidRPr="009218AC">
        <w:rPr>
          <w:i/>
          <w:lang w:val="en-AU"/>
        </w:rPr>
        <w:t>e under sub-section (1) (d) and does not specify a period that shall elapse or impose a condition that shall be fulfilled under sub-section (5), the person formerly licensed is not, without the approval of the Boar</w:t>
      </w:r>
      <w:r w:rsidR="00291B72">
        <w:rPr>
          <w:i/>
          <w:lang w:val="en-AU"/>
        </w:rPr>
        <w:t>d eligible to apply for a licenc</w:t>
      </w:r>
      <w:r w:rsidRPr="009218AC">
        <w:rPr>
          <w:i/>
          <w:lang w:val="en-AU"/>
        </w:rPr>
        <w:t>e.”</w:t>
      </w:r>
    </w:p>
    <w:p w14:paraId="43EC1E58" w14:textId="77777777" w:rsidR="009218AC" w:rsidRPr="009218AC" w:rsidRDefault="009218AC" w:rsidP="009218AC">
      <w:pPr>
        <w:pStyle w:val="ListParagraph"/>
        <w:ind w:left="1080"/>
        <w:jc w:val="both"/>
        <w:rPr>
          <w:i/>
          <w:lang w:val="en-AU"/>
        </w:rPr>
      </w:pPr>
    </w:p>
    <w:p w14:paraId="6173249B" w14:textId="13FDC7D8" w:rsidR="009218AC" w:rsidRDefault="009218AC" w:rsidP="009218AC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t xml:space="preserve">The </w:t>
      </w:r>
      <w:r w:rsidR="00B84FC6">
        <w:rPr>
          <w:lang w:val="en-AU"/>
        </w:rPr>
        <w:t>Board is</w:t>
      </w:r>
      <w:r>
        <w:rPr>
          <w:lang w:val="en-AU"/>
        </w:rPr>
        <w:t xml:space="preserve"> concerned not to set an arbitrary date after which Mr Hemmin</w:t>
      </w:r>
      <w:r w:rsidR="00A9562F">
        <w:rPr>
          <w:lang w:val="en-AU"/>
        </w:rPr>
        <w:t xml:space="preserve">gs could apply for another real estate </w:t>
      </w:r>
      <w:r w:rsidR="00291B72">
        <w:rPr>
          <w:lang w:val="en-AU"/>
        </w:rPr>
        <w:t>licenc</w:t>
      </w:r>
      <w:r>
        <w:rPr>
          <w:lang w:val="en-AU"/>
        </w:rPr>
        <w:t xml:space="preserve">e. </w:t>
      </w:r>
      <w:r w:rsidR="00B84FC6">
        <w:rPr>
          <w:lang w:val="en-AU"/>
        </w:rPr>
        <w:t>Instead, the Board is</w:t>
      </w:r>
      <w:r>
        <w:rPr>
          <w:lang w:val="en-AU"/>
        </w:rPr>
        <w:t xml:space="preserve"> of the view that Mr Hemmings’</w:t>
      </w:r>
      <w:r w:rsidR="00B84FC6">
        <w:rPr>
          <w:lang w:val="en-AU"/>
        </w:rPr>
        <w:t>s failure is</w:t>
      </w:r>
      <w:r>
        <w:rPr>
          <w:lang w:val="en-AU"/>
        </w:rPr>
        <w:t xml:space="preserve"> so fundamentally inconsistent with the trust obligations of a</w:t>
      </w:r>
      <w:r w:rsidR="00B84FC6">
        <w:rPr>
          <w:lang w:val="en-AU"/>
        </w:rPr>
        <w:t xml:space="preserve"> real estate agent that he</w:t>
      </w:r>
      <w:r w:rsidR="00A9562F">
        <w:rPr>
          <w:lang w:val="en-AU"/>
        </w:rPr>
        <w:t xml:space="preserve"> should bear the onus of re-establishing his fitness to h</w:t>
      </w:r>
      <w:r w:rsidR="00291B72">
        <w:rPr>
          <w:lang w:val="en-AU"/>
        </w:rPr>
        <w:t>old a licenc</w:t>
      </w:r>
      <w:r w:rsidR="00A9562F">
        <w:rPr>
          <w:lang w:val="en-AU"/>
        </w:rPr>
        <w:t>e at some future time and to seek the Board’s app</w:t>
      </w:r>
      <w:r w:rsidR="00291B72">
        <w:rPr>
          <w:lang w:val="en-AU"/>
        </w:rPr>
        <w:t>roval to apply for such a licenc</w:t>
      </w:r>
      <w:r w:rsidR="00A9562F">
        <w:rPr>
          <w:lang w:val="en-AU"/>
        </w:rPr>
        <w:t>e</w:t>
      </w:r>
      <w:r w:rsidR="00B84FC6">
        <w:rPr>
          <w:lang w:val="en-AU"/>
        </w:rPr>
        <w:t>.</w:t>
      </w:r>
    </w:p>
    <w:p w14:paraId="420F7633" w14:textId="77777777" w:rsidR="00B84FC6" w:rsidRDefault="00B84FC6" w:rsidP="00B84FC6">
      <w:pPr>
        <w:pStyle w:val="ListParagraph"/>
        <w:ind w:left="1080"/>
        <w:jc w:val="both"/>
        <w:rPr>
          <w:lang w:val="en-AU"/>
        </w:rPr>
      </w:pPr>
    </w:p>
    <w:p w14:paraId="1D329FB8" w14:textId="52DC5DEB" w:rsidR="00B84FC6" w:rsidRDefault="00B84FC6" w:rsidP="009218AC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lastRenderedPageBreak/>
        <w:t>In coming to its decision the Board has c</w:t>
      </w:r>
      <w:r w:rsidR="00C778F6">
        <w:rPr>
          <w:lang w:val="en-AU"/>
        </w:rPr>
        <w:t>onsidered the seriousness of Mr </w:t>
      </w:r>
      <w:r>
        <w:rPr>
          <w:lang w:val="en-AU"/>
        </w:rPr>
        <w:t>Hemmings</w:t>
      </w:r>
      <w:r w:rsidR="00F12E0F">
        <w:rPr>
          <w:lang w:val="en-AU"/>
        </w:rPr>
        <w:t>’</w:t>
      </w:r>
      <w:r>
        <w:rPr>
          <w:lang w:val="en-AU"/>
        </w:rPr>
        <w:t xml:space="preserve"> actions and the need to deter other real estate agents from acting in the same or similar manner, as the most weighty matters in formulating a sanction that would further the aims of community protection and maintaining confidence in the real estate industry.</w:t>
      </w:r>
    </w:p>
    <w:p w14:paraId="39A0E08B" w14:textId="77777777" w:rsidR="003E0E8F" w:rsidRDefault="003E0E8F" w:rsidP="00B84FC6">
      <w:pPr>
        <w:jc w:val="both"/>
        <w:rPr>
          <w:lang w:val="en-AU"/>
        </w:rPr>
      </w:pPr>
    </w:p>
    <w:p w14:paraId="6BD2F708" w14:textId="77777777" w:rsidR="003E0E8F" w:rsidRDefault="003E0E8F" w:rsidP="00B84FC6">
      <w:pPr>
        <w:jc w:val="both"/>
        <w:rPr>
          <w:lang w:val="en-AU"/>
        </w:rPr>
      </w:pPr>
    </w:p>
    <w:p w14:paraId="4E33156B" w14:textId="77777777" w:rsidR="00ED3B32" w:rsidRDefault="00ED3B32" w:rsidP="00B84FC6">
      <w:pPr>
        <w:jc w:val="both"/>
        <w:rPr>
          <w:lang w:val="en-AU"/>
        </w:rPr>
      </w:pPr>
      <w:r>
        <w:rPr>
          <w:lang w:val="en-AU"/>
        </w:rPr>
        <w:t>For the Board</w:t>
      </w:r>
    </w:p>
    <w:p w14:paraId="1F546D8D" w14:textId="6BBB5212" w:rsidR="00B84FC6" w:rsidRDefault="00B84FC6" w:rsidP="00B84FC6">
      <w:pPr>
        <w:jc w:val="both"/>
        <w:rPr>
          <w:lang w:val="en-AU"/>
        </w:rPr>
      </w:pPr>
    </w:p>
    <w:p w14:paraId="0C487314" w14:textId="519E5C21" w:rsidR="00291B72" w:rsidRDefault="00291B72" w:rsidP="00ED3B32">
      <w:pPr>
        <w:ind w:left="-709"/>
        <w:jc w:val="both"/>
        <w:rPr>
          <w:noProof/>
          <w:lang w:val="en-AU" w:eastAsia="en-AU"/>
        </w:rPr>
      </w:pPr>
    </w:p>
    <w:p w14:paraId="43414E3B" w14:textId="5B44794B" w:rsidR="007E012C" w:rsidRDefault="007E012C" w:rsidP="00ED3B32">
      <w:pPr>
        <w:ind w:left="-709"/>
        <w:jc w:val="both"/>
        <w:rPr>
          <w:noProof/>
          <w:lang w:val="en-AU" w:eastAsia="en-AU"/>
        </w:rPr>
      </w:pPr>
    </w:p>
    <w:p w14:paraId="6CEE2A21" w14:textId="77777777" w:rsidR="007E012C" w:rsidRDefault="007E012C" w:rsidP="00ED3B32">
      <w:pPr>
        <w:ind w:left="-709"/>
        <w:jc w:val="both"/>
        <w:rPr>
          <w:lang w:val="en-AU"/>
        </w:rPr>
      </w:pPr>
    </w:p>
    <w:p w14:paraId="3DF3EEF5" w14:textId="234EEF37" w:rsidR="00B84FC6" w:rsidRDefault="00B84FC6" w:rsidP="00B84FC6">
      <w:pPr>
        <w:jc w:val="both"/>
        <w:rPr>
          <w:lang w:val="en-AU"/>
        </w:rPr>
      </w:pPr>
      <w:r>
        <w:rPr>
          <w:lang w:val="en-AU"/>
        </w:rPr>
        <w:t>Mark Thomas</w:t>
      </w:r>
    </w:p>
    <w:p w14:paraId="5222FCF4" w14:textId="4E2DD759" w:rsidR="00B84FC6" w:rsidRDefault="00B84FC6" w:rsidP="00B84FC6">
      <w:pPr>
        <w:jc w:val="both"/>
        <w:rPr>
          <w:lang w:val="en-AU"/>
        </w:rPr>
      </w:pPr>
      <w:r>
        <w:rPr>
          <w:lang w:val="en-AU"/>
        </w:rPr>
        <w:t>Chair</w:t>
      </w:r>
      <w:r w:rsidR="00DD1F38">
        <w:rPr>
          <w:lang w:val="en-AU"/>
        </w:rPr>
        <w:t>person</w:t>
      </w:r>
    </w:p>
    <w:p w14:paraId="263BCAE7" w14:textId="36D8E474" w:rsidR="00B84FC6" w:rsidRDefault="00B84FC6" w:rsidP="00B84FC6">
      <w:pPr>
        <w:jc w:val="both"/>
        <w:rPr>
          <w:lang w:val="en-AU"/>
        </w:rPr>
      </w:pPr>
      <w:r>
        <w:rPr>
          <w:lang w:val="en-AU"/>
        </w:rPr>
        <w:t>Agents Licensing Board</w:t>
      </w:r>
      <w:r w:rsidR="00DD1F38">
        <w:rPr>
          <w:lang w:val="en-AU"/>
        </w:rPr>
        <w:t xml:space="preserve"> NT</w:t>
      </w:r>
    </w:p>
    <w:p w14:paraId="39C108B6" w14:textId="46D4201B" w:rsidR="00ED3B32" w:rsidRDefault="00ED3B32" w:rsidP="00B84FC6">
      <w:pPr>
        <w:jc w:val="both"/>
        <w:rPr>
          <w:lang w:val="en-AU"/>
        </w:rPr>
      </w:pPr>
    </w:p>
    <w:p w14:paraId="48A339A8" w14:textId="77777777" w:rsidR="00ED3B32" w:rsidRDefault="00ED3B32" w:rsidP="00ED3B32">
      <w:pPr>
        <w:jc w:val="both"/>
        <w:rPr>
          <w:lang w:val="en-AU"/>
        </w:rPr>
      </w:pPr>
      <w:r>
        <w:rPr>
          <w:lang w:val="en-AU"/>
        </w:rPr>
        <w:t>Dated:  25 June 2019 at Darwin</w:t>
      </w:r>
    </w:p>
    <w:p w14:paraId="52E09130" w14:textId="77777777" w:rsidR="00ED3B32" w:rsidRPr="00B84FC6" w:rsidRDefault="00ED3B32" w:rsidP="00B84FC6">
      <w:pPr>
        <w:jc w:val="both"/>
        <w:rPr>
          <w:lang w:val="en-AU"/>
        </w:rPr>
      </w:pPr>
    </w:p>
    <w:sectPr w:rsidR="00ED3B32" w:rsidRPr="00B84FC6" w:rsidSect="004A13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07BAC" w14:textId="77777777" w:rsidR="00B11BE8" w:rsidRDefault="00B11BE8" w:rsidP="0019301F">
      <w:r>
        <w:separator/>
      </w:r>
    </w:p>
  </w:endnote>
  <w:endnote w:type="continuationSeparator" w:id="0">
    <w:p w14:paraId="67A03E48" w14:textId="77777777" w:rsidR="00B11BE8" w:rsidRDefault="00B11BE8" w:rsidP="0019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E235E" w14:textId="77777777" w:rsidR="00137699" w:rsidRDefault="00137699" w:rsidP="0013769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8F0776" w14:textId="77777777" w:rsidR="00137699" w:rsidRDefault="00137699" w:rsidP="0019301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58083" w14:textId="2171D953" w:rsidR="00137699" w:rsidRDefault="00137699" w:rsidP="0013769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52E">
      <w:rPr>
        <w:rStyle w:val="PageNumber"/>
        <w:noProof/>
      </w:rPr>
      <w:t>4</w:t>
    </w:r>
    <w:r>
      <w:rPr>
        <w:rStyle w:val="PageNumber"/>
      </w:rPr>
      <w:fldChar w:fldCharType="end"/>
    </w:r>
  </w:p>
  <w:p w14:paraId="39861A23" w14:textId="77777777" w:rsidR="00137699" w:rsidRDefault="00137699" w:rsidP="0019301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6BDA2" w14:textId="77777777" w:rsidR="0019652E" w:rsidRDefault="001965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04B2F" w14:textId="77777777" w:rsidR="00B11BE8" w:rsidRDefault="00B11BE8" w:rsidP="0019301F">
      <w:r>
        <w:separator/>
      </w:r>
    </w:p>
  </w:footnote>
  <w:footnote w:type="continuationSeparator" w:id="0">
    <w:p w14:paraId="212D9BC0" w14:textId="77777777" w:rsidR="00B11BE8" w:rsidRDefault="00B11BE8" w:rsidP="0019301F">
      <w:r>
        <w:continuationSeparator/>
      </w:r>
    </w:p>
  </w:footnote>
  <w:footnote w:id="1">
    <w:p w14:paraId="2943C6D1" w14:textId="7DB39D83" w:rsidR="00D53850" w:rsidRPr="00D53850" w:rsidRDefault="00D53850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Annexure D in these proceedings. This also included some attachments, which appear to be duplicated in the Inquiry Book</w:t>
      </w:r>
    </w:p>
  </w:footnote>
  <w:footnote w:id="2">
    <w:p w14:paraId="2BA40F1E" w14:textId="19195DAD" w:rsidR="000D09E1" w:rsidRPr="000D09E1" w:rsidRDefault="000D09E1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(1938) 60 CLR 336 per Dixon J at 361-362.</w:t>
      </w:r>
    </w:p>
  </w:footnote>
  <w:footnote w:id="3">
    <w:p w14:paraId="41B9B99F" w14:textId="56D4B43E" w:rsidR="00137699" w:rsidRPr="003631A6" w:rsidRDefault="00137699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IB 8</w:t>
      </w:r>
    </w:p>
  </w:footnote>
  <w:footnote w:id="4">
    <w:p w14:paraId="42FD900A" w14:textId="4C16E814" w:rsidR="00137699" w:rsidRPr="00556DEB" w:rsidRDefault="00137699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The word ‘ticked’ here is used to describe of the computerised  form being used to place a mark, in the form of a dot in the middle of a circle immediately to the left of the “No” box</w:t>
      </w:r>
    </w:p>
  </w:footnote>
  <w:footnote w:id="5">
    <w:p w14:paraId="4948A185" w14:textId="4B329680" w:rsidR="00137699" w:rsidRPr="003669E8" w:rsidRDefault="00137699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See, in particular, the comprehensive email from Ms Newstead of CBS Adelaide at IB 80-81.</w:t>
      </w:r>
    </w:p>
  </w:footnote>
  <w:footnote w:id="6">
    <w:p w14:paraId="7E01C4C6" w14:textId="554D7A78" w:rsidR="00137699" w:rsidRPr="003669E8" w:rsidRDefault="00137699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IB 185-186</w:t>
      </w:r>
    </w:p>
  </w:footnote>
  <w:footnote w:id="7">
    <w:p w14:paraId="408550D4" w14:textId="25435D1E" w:rsidR="00137699" w:rsidRPr="006974C7" w:rsidRDefault="00137699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IB 141-142</w:t>
      </w:r>
    </w:p>
  </w:footnote>
  <w:footnote w:id="8">
    <w:p w14:paraId="29D629BB" w14:textId="20E3EEFE" w:rsidR="00137699" w:rsidRPr="004A2EEA" w:rsidRDefault="00137699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="006F520C">
        <w:t xml:space="preserve">Shorter </w:t>
      </w:r>
      <w:r>
        <w:rPr>
          <w:lang w:val="en-AU"/>
        </w:rPr>
        <w:t>Oxford English Dictionary, 1985</w:t>
      </w:r>
      <w:r w:rsidR="006F520C">
        <w:rPr>
          <w:lang w:val="en-AU"/>
        </w:rPr>
        <w:t>, Clarendon Press.</w:t>
      </w:r>
    </w:p>
  </w:footnote>
  <w:footnote w:id="9">
    <w:p w14:paraId="4526EA1D" w14:textId="254FCABD" w:rsidR="00137699" w:rsidRPr="009D3F0F" w:rsidRDefault="00137699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="00620A0F">
        <w:rPr>
          <w:lang w:val="en-AU"/>
        </w:rPr>
        <w:t>IB 8</w:t>
      </w:r>
    </w:p>
  </w:footnote>
  <w:footnote w:id="10">
    <w:p w14:paraId="6886D19B" w14:textId="3078B722" w:rsidR="00137699" w:rsidRPr="00B40462" w:rsidRDefault="00137699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Murphy v Farmer (1988) 165 CLR 19</w:t>
      </w:r>
    </w:p>
  </w:footnote>
  <w:footnote w:id="11">
    <w:p w14:paraId="36FE8A89" w14:textId="34DFE47B" w:rsidR="00137699" w:rsidRPr="007964C7" w:rsidRDefault="00137699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[2012] NSW CA 80</w:t>
      </w:r>
    </w:p>
  </w:footnote>
  <w:footnote w:id="12">
    <w:p w14:paraId="46702ECE" w14:textId="3BB5CE96" w:rsidR="00137699" w:rsidRPr="007964C7" w:rsidRDefault="00137699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 xml:space="preserve">see para 42 </w:t>
      </w:r>
    </w:p>
  </w:footnote>
  <w:footnote w:id="13">
    <w:p w14:paraId="57390ABC" w14:textId="2BF4D4C2" w:rsidR="00137699" w:rsidRPr="00486E4D" w:rsidRDefault="00137699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IB 8</w:t>
      </w:r>
    </w:p>
  </w:footnote>
  <w:footnote w:id="14">
    <w:p w14:paraId="2C1D5153" w14:textId="770CF493" w:rsidR="00137699" w:rsidRPr="008B3BFD" w:rsidRDefault="00137699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 xml:space="preserve">[2007] QCCTPAMD </w:t>
      </w:r>
      <w:r w:rsidR="00595CF2">
        <w:rPr>
          <w:lang w:val="en-AU"/>
        </w:rPr>
        <w:t>027 at</w:t>
      </w:r>
      <w:r>
        <w:rPr>
          <w:lang w:val="en-AU"/>
        </w:rPr>
        <w:t xml:space="preserve"> [62]</w:t>
      </w:r>
    </w:p>
  </w:footnote>
  <w:footnote w:id="15">
    <w:p w14:paraId="3B3B5DDB" w14:textId="6B2C5775" w:rsidR="00137699" w:rsidRPr="00235544" w:rsidRDefault="00137699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IB 68-69</w:t>
      </w:r>
    </w:p>
  </w:footnote>
  <w:footnote w:id="16">
    <w:p w14:paraId="32CAADD3" w14:textId="68D64A37" w:rsidR="00137699" w:rsidRPr="00235544" w:rsidRDefault="00137699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IB 81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8D4DE" w14:textId="77777777" w:rsidR="0019652E" w:rsidRDefault="001965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D022D" w14:textId="77777777" w:rsidR="0019652E" w:rsidRDefault="001965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593EE" w14:textId="77777777" w:rsidR="0019652E" w:rsidRDefault="001965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5310A"/>
    <w:multiLevelType w:val="hybridMultilevel"/>
    <w:tmpl w:val="9D041CB0"/>
    <w:lvl w:ilvl="0" w:tplc="A378C4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1E45B9"/>
    <w:multiLevelType w:val="hybridMultilevel"/>
    <w:tmpl w:val="DF0085DA"/>
    <w:lvl w:ilvl="0" w:tplc="77569F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F7335C"/>
    <w:multiLevelType w:val="hybridMultilevel"/>
    <w:tmpl w:val="3CF6FA5E"/>
    <w:lvl w:ilvl="0" w:tplc="D652AF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F848AF"/>
    <w:multiLevelType w:val="hybridMultilevel"/>
    <w:tmpl w:val="D0A8395A"/>
    <w:lvl w:ilvl="0" w:tplc="8F5C44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9B4E75"/>
    <w:multiLevelType w:val="hybridMultilevel"/>
    <w:tmpl w:val="9DBCB7B0"/>
    <w:lvl w:ilvl="0" w:tplc="533806D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ED"/>
    <w:rsid w:val="00004C75"/>
    <w:rsid w:val="00032EDE"/>
    <w:rsid w:val="0004166C"/>
    <w:rsid w:val="0008137B"/>
    <w:rsid w:val="0009010B"/>
    <w:rsid w:val="000D09E1"/>
    <w:rsid w:val="000D39F9"/>
    <w:rsid w:val="000D7462"/>
    <w:rsid w:val="000E6D63"/>
    <w:rsid w:val="000F7C0C"/>
    <w:rsid w:val="00100FC1"/>
    <w:rsid w:val="00137699"/>
    <w:rsid w:val="00152EB0"/>
    <w:rsid w:val="00161FD4"/>
    <w:rsid w:val="0016736F"/>
    <w:rsid w:val="0019301F"/>
    <w:rsid w:val="0019652E"/>
    <w:rsid w:val="002166EC"/>
    <w:rsid w:val="00235544"/>
    <w:rsid w:val="00283E7B"/>
    <w:rsid w:val="00291B72"/>
    <w:rsid w:val="002B57F1"/>
    <w:rsid w:val="002F4C20"/>
    <w:rsid w:val="002F59CC"/>
    <w:rsid w:val="00300748"/>
    <w:rsid w:val="00301BED"/>
    <w:rsid w:val="00302765"/>
    <w:rsid w:val="0036092A"/>
    <w:rsid w:val="003631A6"/>
    <w:rsid w:val="00365D55"/>
    <w:rsid w:val="003669E8"/>
    <w:rsid w:val="003B12CB"/>
    <w:rsid w:val="003B55FF"/>
    <w:rsid w:val="003D25DB"/>
    <w:rsid w:val="003E0E8F"/>
    <w:rsid w:val="004017F2"/>
    <w:rsid w:val="00443E58"/>
    <w:rsid w:val="00455DBD"/>
    <w:rsid w:val="00460B0E"/>
    <w:rsid w:val="004733AA"/>
    <w:rsid w:val="00486E4D"/>
    <w:rsid w:val="004A13F2"/>
    <w:rsid w:val="004A2EEA"/>
    <w:rsid w:val="004A7D4D"/>
    <w:rsid w:val="004C3076"/>
    <w:rsid w:val="004E7497"/>
    <w:rsid w:val="00513802"/>
    <w:rsid w:val="00556DEB"/>
    <w:rsid w:val="00591874"/>
    <w:rsid w:val="00595CF2"/>
    <w:rsid w:val="005A0420"/>
    <w:rsid w:val="005C17E9"/>
    <w:rsid w:val="005F6486"/>
    <w:rsid w:val="005F7CBC"/>
    <w:rsid w:val="006008F9"/>
    <w:rsid w:val="00615D0D"/>
    <w:rsid w:val="00620A0F"/>
    <w:rsid w:val="00644942"/>
    <w:rsid w:val="006846AE"/>
    <w:rsid w:val="006974C7"/>
    <w:rsid w:val="006D0B3D"/>
    <w:rsid w:val="006F520C"/>
    <w:rsid w:val="00725888"/>
    <w:rsid w:val="00734A86"/>
    <w:rsid w:val="00756C64"/>
    <w:rsid w:val="0076523A"/>
    <w:rsid w:val="00782F96"/>
    <w:rsid w:val="007845A5"/>
    <w:rsid w:val="00786E9D"/>
    <w:rsid w:val="007964C7"/>
    <w:rsid w:val="00797B6C"/>
    <w:rsid w:val="007B0E10"/>
    <w:rsid w:val="007B7AAC"/>
    <w:rsid w:val="007E012C"/>
    <w:rsid w:val="007F63BB"/>
    <w:rsid w:val="008017B2"/>
    <w:rsid w:val="00857864"/>
    <w:rsid w:val="00861D94"/>
    <w:rsid w:val="0089403F"/>
    <w:rsid w:val="008B3BFD"/>
    <w:rsid w:val="0090447A"/>
    <w:rsid w:val="00911DA5"/>
    <w:rsid w:val="009204CE"/>
    <w:rsid w:val="009218AC"/>
    <w:rsid w:val="00924946"/>
    <w:rsid w:val="00930A56"/>
    <w:rsid w:val="009466F5"/>
    <w:rsid w:val="009A3C38"/>
    <w:rsid w:val="009A61A8"/>
    <w:rsid w:val="009D3F0F"/>
    <w:rsid w:val="009D714E"/>
    <w:rsid w:val="00A54916"/>
    <w:rsid w:val="00A57A36"/>
    <w:rsid w:val="00A664A9"/>
    <w:rsid w:val="00A70B8F"/>
    <w:rsid w:val="00A8170F"/>
    <w:rsid w:val="00A85C69"/>
    <w:rsid w:val="00A9562F"/>
    <w:rsid w:val="00A96353"/>
    <w:rsid w:val="00AD1391"/>
    <w:rsid w:val="00B11BE8"/>
    <w:rsid w:val="00B40462"/>
    <w:rsid w:val="00B54DE6"/>
    <w:rsid w:val="00B650A1"/>
    <w:rsid w:val="00B84FC6"/>
    <w:rsid w:val="00BC0BB1"/>
    <w:rsid w:val="00C040F9"/>
    <w:rsid w:val="00C12C5D"/>
    <w:rsid w:val="00C31388"/>
    <w:rsid w:val="00C35701"/>
    <w:rsid w:val="00C37751"/>
    <w:rsid w:val="00C439CF"/>
    <w:rsid w:val="00C50780"/>
    <w:rsid w:val="00C51D5B"/>
    <w:rsid w:val="00C54066"/>
    <w:rsid w:val="00C54620"/>
    <w:rsid w:val="00C778F6"/>
    <w:rsid w:val="00C93628"/>
    <w:rsid w:val="00C9616B"/>
    <w:rsid w:val="00CC13A5"/>
    <w:rsid w:val="00CD0AA8"/>
    <w:rsid w:val="00CF5C38"/>
    <w:rsid w:val="00D1687D"/>
    <w:rsid w:val="00D53850"/>
    <w:rsid w:val="00D76BEB"/>
    <w:rsid w:val="00D87D0F"/>
    <w:rsid w:val="00DB4022"/>
    <w:rsid w:val="00DC35A7"/>
    <w:rsid w:val="00DD1F38"/>
    <w:rsid w:val="00E0305C"/>
    <w:rsid w:val="00EB6C3F"/>
    <w:rsid w:val="00ED3B32"/>
    <w:rsid w:val="00F12E0F"/>
    <w:rsid w:val="00F25C7F"/>
    <w:rsid w:val="00F30FFB"/>
    <w:rsid w:val="00F87EE5"/>
    <w:rsid w:val="00F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FD5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3A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30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01F"/>
  </w:style>
  <w:style w:type="character" w:styleId="PageNumber">
    <w:name w:val="page number"/>
    <w:basedOn w:val="DefaultParagraphFont"/>
    <w:uiPriority w:val="99"/>
    <w:semiHidden/>
    <w:unhideWhenUsed/>
    <w:rsid w:val="0019301F"/>
  </w:style>
  <w:style w:type="paragraph" w:styleId="FootnoteText">
    <w:name w:val="footnote text"/>
    <w:basedOn w:val="Normal"/>
    <w:link w:val="FootnoteTextChar"/>
    <w:uiPriority w:val="99"/>
    <w:unhideWhenUsed/>
    <w:rsid w:val="00556DEB"/>
  </w:style>
  <w:style w:type="character" w:customStyle="1" w:styleId="FootnoteTextChar">
    <w:name w:val="Footnote Text Char"/>
    <w:basedOn w:val="DefaultParagraphFont"/>
    <w:link w:val="FootnoteText"/>
    <w:uiPriority w:val="99"/>
    <w:rsid w:val="00556DEB"/>
  </w:style>
  <w:style w:type="character" w:styleId="FootnoteReference">
    <w:name w:val="footnote reference"/>
    <w:basedOn w:val="DefaultParagraphFont"/>
    <w:uiPriority w:val="99"/>
    <w:unhideWhenUsed/>
    <w:rsid w:val="00556DE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965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Registrar of Land, Business and Conveyancing Agents v Luke Hemmings</dc:title>
  <dc:subject/>
  <dc:creator/>
  <cp:keywords/>
  <dc:description/>
  <cp:lastModifiedBy/>
  <cp:revision>1</cp:revision>
  <dcterms:created xsi:type="dcterms:W3CDTF">2019-06-25T01:22:00Z</dcterms:created>
  <dcterms:modified xsi:type="dcterms:W3CDTF">2019-06-25T01:23:00Z</dcterms:modified>
</cp:coreProperties>
</file>