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F4" w:rsidRDefault="005074F4" w:rsidP="005074F4">
      <w:pPr>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p w:rsidR="005074F4" w:rsidRDefault="005074F4" w:rsidP="005074F4">
      <w:pPr>
        <w:keepNext/>
        <w:pBdr>
          <w:bottom w:val="single" w:sz="12" w:space="6" w:color="auto"/>
        </w:pBdr>
        <w:spacing w:after="120"/>
        <w:jc w:val="center"/>
        <w:outlineLvl w:val="0"/>
        <w:rPr>
          <w:rFonts w:ascii="Arial" w:hAnsi="Arial"/>
          <w:b/>
          <w:bCs/>
          <w:kern w:val="32"/>
          <w:sz w:val="32"/>
          <w:szCs w:val="32"/>
        </w:rPr>
      </w:pPr>
      <w:r w:rsidRPr="00C26AA1">
        <w:rPr>
          <w:rFonts w:ascii="Arial" w:hAnsi="Arial"/>
          <w:b/>
          <w:bCs/>
          <w:kern w:val="32"/>
          <w:sz w:val="32"/>
          <w:szCs w:val="32"/>
        </w:rPr>
        <w:t>Reasons for Decision</w:t>
      </w:r>
    </w:p>
    <w:p w:rsidR="005074F4" w:rsidRPr="00C26AA1" w:rsidRDefault="005074F4" w:rsidP="005074F4">
      <w:pPr>
        <w:keepNext/>
        <w:pBdr>
          <w:bottom w:val="single" w:sz="12" w:space="6" w:color="auto"/>
        </w:pBdr>
        <w:spacing w:after="120"/>
        <w:jc w:val="center"/>
        <w:outlineLvl w:val="0"/>
        <w:rPr>
          <w:rFonts w:ascii="Arial" w:hAnsi="Arial"/>
          <w:b/>
          <w:bCs/>
          <w:kern w:val="32"/>
          <w:sz w:val="32"/>
          <w:szCs w:val="32"/>
        </w:rPr>
      </w:pPr>
    </w:p>
    <w:p w:rsidR="005074F4" w:rsidRPr="00300C21" w:rsidRDefault="008B2E05" w:rsidP="005074F4">
      <w:pPr>
        <w:overflowPunct w:val="0"/>
        <w:autoSpaceDE w:val="0"/>
        <w:autoSpaceDN w:val="0"/>
        <w:adjustRightInd w:val="0"/>
        <w:spacing w:after="0" w:line="480" w:lineRule="auto"/>
        <w:ind w:left="2835" w:hanging="2835"/>
        <w:outlineLvl w:val="0"/>
        <w:rPr>
          <w:rFonts w:ascii="Arial" w:hAnsi="Arial"/>
        </w:rPr>
      </w:pPr>
      <w:r>
        <w:rPr>
          <w:rFonts w:ascii="Arial" w:hAnsi="Arial"/>
          <w:b/>
        </w:rPr>
        <w:t>Complainant</w:t>
      </w:r>
      <w:r w:rsidR="005074F4" w:rsidRPr="00300C21">
        <w:rPr>
          <w:rFonts w:ascii="Arial" w:hAnsi="Arial"/>
          <w:b/>
        </w:rPr>
        <w:t>:</w:t>
      </w:r>
      <w:r w:rsidR="005074F4" w:rsidRPr="00300C21">
        <w:rPr>
          <w:rFonts w:ascii="Arial" w:hAnsi="Arial"/>
          <w:b/>
        </w:rPr>
        <w:tab/>
      </w:r>
      <w:r>
        <w:rPr>
          <w:rFonts w:ascii="Arial" w:hAnsi="Arial"/>
        </w:rPr>
        <w:t xml:space="preserve">Mr </w:t>
      </w:r>
      <w:r w:rsidR="007F3330">
        <w:rPr>
          <w:rFonts w:ascii="Arial" w:hAnsi="Arial"/>
        </w:rPr>
        <w:t>O</w:t>
      </w:r>
    </w:p>
    <w:p w:rsidR="005074F4" w:rsidRPr="00300C21" w:rsidRDefault="008B2E05" w:rsidP="005074F4">
      <w:pPr>
        <w:overflowPunct w:val="0"/>
        <w:autoSpaceDE w:val="0"/>
        <w:autoSpaceDN w:val="0"/>
        <w:adjustRightInd w:val="0"/>
        <w:spacing w:after="0" w:line="480" w:lineRule="auto"/>
        <w:ind w:left="2835" w:hanging="2835"/>
        <w:outlineLvl w:val="0"/>
        <w:rPr>
          <w:rFonts w:ascii="Arial" w:hAnsi="Arial" w:cs="Arial"/>
          <w:lang w:val="en-GB"/>
        </w:rPr>
      </w:pPr>
      <w:r>
        <w:rPr>
          <w:rFonts w:ascii="Arial" w:hAnsi="Arial"/>
          <w:b/>
        </w:rPr>
        <w:t>Licensee</w:t>
      </w:r>
      <w:r w:rsidR="005074F4" w:rsidRPr="00300C21">
        <w:rPr>
          <w:rFonts w:ascii="Arial" w:hAnsi="Arial" w:cs="Arial"/>
          <w:b/>
          <w:lang w:val="en-GB"/>
        </w:rPr>
        <w:t>:</w:t>
      </w:r>
      <w:r w:rsidR="005074F4" w:rsidRPr="00300C21">
        <w:rPr>
          <w:rFonts w:ascii="Arial" w:hAnsi="Arial" w:cs="Arial"/>
          <w:b/>
          <w:lang w:val="en-GB"/>
        </w:rPr>
        <w:tab/>
      </w:r>
      <w:r>
        <w:rPr>
          <w:rFonts w:ascii="Arial" w:hAnsi="Arial" w:cs="Arial"/>
          <w:lang w:val="en-GB"/>
        </w:rPr>
        <w:t>Ladbrokes Digital Australia Pty Ltd</w:t>
      </w:r>
    </w:p>
    <w:p w:rsidR="005074F4" w:rsidRDefault="005074F4" w:rsidP="005074F4">
      <w:pPr>
        <w:spacing w:after="0"/>
        <w:ind w:left="2835" w:hanging="2835"/>
        <w:rPr>
          <w:rFonts w:ascii="Arial" w:hAnsi="Arial" w:cs="Arial"/>
        </w:rPr>
      </w:pPr>
      <w:r w:rsidRPr="00300C21">
        <w:rPr>
          <w:rFonts w:ascii="Arial" w:hAnsi="Arial"/>
          <w:b/>
        </w:rPr>
        <w:t>Proceedings</w:t>
      </w:r>
      <w:r w:rsidRPr="00300C21">
        <w:rPr>
          <w:rFonts w:ascii="Arial" w:hAnsi="Arial" w:cs="Arial"/>
          <w:b/>
          <w:lang w:val="en-GB"/>
        </w:rPr>
        <w:t>:</w:t>
      </w:r>
      <w:r w:rsidRPr="00300C21">
        <w:rPr>
          <w:rFonts w:ascii="Arial" w:hAnsi="Arial" w:cs="Arial"/>
          <w:b/>
          <w:lang w:val="en-GB"/>
        </w:rPr>
        <w:tab/>
      </w:r>
      <w:r w:rsidRPr="00300C21">
        <w:rPr>
          <w:rFonts w:ascii="Arial" w:hAnsi="Arial" w:cs="Arial"/>
        </w:rPr>
        <w:t>Pursuant to Section 8</w:t>
      </w:r>
      <w:r w:rsidR="008B2E05">
        <w:rPr>
          <w:rFonts w:ascii="Arial" w:hAnsi="Arial" w:cs="Arial"/>
        </w:rPr>
        <w:t>5</w:t>
      </w:r>
      <w:r w:rsidRPr="00300C21">
        <w:rPr>
          <w:rFonts w:ascii="Arial" w:hAnsi="Arial" w:cs="Arial"/>
        </w:rPr>
        <w:t>(</w:t>
      </w:r>
      <w:r w:rsidR="008B2E05">
        <w:rPr>
          <w:rFonts w:ascii="Arial" w:hAnsi="Arial" w:cs="Arial"/>
        </w:rPr>
        <w:t>4</w:t>
      </w:r>
      <w:r w:rsidRPr="00300C21">
        <w:rPr>
          <w:rFonts w:ascii="Arial" w:hAnsi="Arial" w:cs="Arial"/>
        </w:rPr>
        <w:t xml:space="preserve">) of the </w:t>
      </w:r>
      <w:r w:rsidRPr="00300C21">
        <w:rPr>
          <w:rFonts w:ascii="Arial" w:hAnsi="Arial" w:cs="Arial"/>
          <w:i/>
        </w:rPr>
        <w:t>Racing and Betting Act</w:t>
      </w:r>
      <w:r w:rsidRPr="00300C21">
        <w:rPr>
          <w:rFonts w:ascii="Arial" w:hAnsi="Arial" w:cs="Arial"/>
        </w:rPr>
        <w:t xml:space="preserve"> – </w:t>
      </w:r>
      <w:r w:rsidR="008B2E05">
        <w:rPr>
          <w:rFonts w:ascii="Arial" w:hAnsi="Arial" w:cs="Arial"/>
        </w:rPr>
        <w:t>Referral of Dispute to Racing Commission For Determination</w:t>
      </w:r>
    </w:p>
    <w:p w:rsidR="005074F4" w:rsidRPr="00300C21" w:rsidRDefault="005074F4" w:rsidP="005074F4">
      <w:pPr>
        <w:spacing w:after="0"/>
        <w:ind w:left="2835" w:hanging="2835"/>
        <w:rPr>
          <w:rFonts w:ascii="Arial" w:hAnsi="Arial" w:cs="Arial"/>
          <w:lang w:val="en-GB"/>
        </w:rPr>
      </w:pPr>
    </w:p>
    <w:p w:rsidR="005074F4" w:rsidRDefault="005074F4" w:rsidP="005074F4">
      <w:pPr>
        <w:spacing w:after="0" w:line="240" w:lineRule="auto"/>
        <w:ind w:left="2835" w:hanging="2835"/>
        <w:rPr>
          <w:rFonts w:ascii="Arial" w:hAnsi="Arial" w:cs="Arial"/>
          <w:lang w:val="en-GB"/>
        </w:rPr>
      </w:pPr>
      <w:r w:rsidRPr="00300C21">
        <w:rPr>
          <w:rFonts w:ascii="Arial" w:hAnsi="Arial"/>
          <w:b/>
        </w:rPr>
        <w:t>Heard Before</w:t>
      </w:r>
      <w:r w:rsidRPr="00300C21">
        <w:rPr>
          <w:rFonts w:ascii="Arial" w:hAnsi="Arial" w:cs="Arial"/>
          <w:b/>
          <w:lang w:val="en-GB"/>
        </w:rPr>
        <w:t>:</w:t>
      </w:r>
      <w:r w:rsidRPr="00300C21">
        <w:rPr>
          <w:rFonts w:ascii="Arial" w:hAnsi="Arial" w:cs="Arial"/>
          <w:b/>
          <w:lang w:val="en-GB"/>
        </w:rPr>
        <w:tab/>
      </w:r>
      <w:r w:rsidRPr="00300C21">
        <w:rPr>
          <w:rFonts w:ascii="Arial" w:hAnsi="Arial" w:cs="Arial"/>
          <w:lang w:val="en-GB"/>
        </w:rPr>
        <w:t>Mr John Boneham (</w:t>
      </w:r>
      <w:r w:rsidR="008B2E05">
        <w:rPr>
          <w:rFonts w:ascii="Arial" w:hAnsi="Arial" w:cs="Arial"/>
          <w:lang w:val="en-GB"/>
        </w:rPr>
        <w:t>Presiding Member</w:t>
      </w:r>
      <w:r w:rsidRPr="00300C21">
        <w:rPr>
          <w:rFonts w:ascii="Arial" w:hAnsi="Arial" w:cs="Arial"/>
          <w:lang w:val="en-GB"/>
        </w:rPr>
        <w:t>)</w:t>
      </w:r>
    </w:p>
    <w:p w:rsidR="008B2E05" w:rsidRPr="00300C21" w:rsidRDefault="008B2E05" w:rsidP="005074F4">
      <w:pPr>
        <w:spacing w:after="0" w:line="240" w:lineRule="auto"/>
        <w:ind w:left="2835" w:hanging="2835"/>
        <w:rPr>
          <w:rFonts w:ascii="Arial" w:hAnsi="Arial" w:cs="Arial"/>
          <w:lang w:val="en-GB"/>
        </w:rPr>
      </w:pPr>
    </w:p>
    <w:p w:rsidR="008B2E05" w:rsidRDefault="005074F4" w:rsidP="005074F4">
      <w:pPr>
        <w:spacing w:after="0"/>
        <w:ind w:left="2835" w:hanging="2835"/>
        <w:rPr>
          <w:rFonts w:ascii="Arial" w:hAnsi="Arial" w:cs="Arial"/>
        </w:rPr>
      </w:pPr>
      <w:r w:rsidRPr="00300C21">
        <w:rPr>
          <w:rFonts w:ascii="Arial" w:hAnsi="Arial" w:cs="Arial"/>
          <w:b/>
        </w:rPr>
        <w:t>(on papers)</w:t>
      </w:r>
      <w:r w:rsidRPr="00300C21">
        <w:rPr>
          <w:rFonts w:ascii="Arial" w:hAnsi="Arial" w:cs="Arial"/>
          <w:b/>
        </w:rPr>
        <w:tab/>
      </w:r>
      <w:r w:rsidR="008B2E05">
        <w:rPr>
          <w:rFonts w:ascii="Arial" w:hAnsi="Arial" w:cs="Arial"/>
        </w:rPr>
        <w:t>Mr Andrew Maloney</w:t>
      </w:r>
    </w:p>
    <w:p w:rsidR="005074F4" w:rsidRPr="008B2E05" w:rsidRDefault="008B2E05" w:rsidP="005074F4">
      <w:pPr>
        <w:spacing w:after="0"/>
        <w:ind w:left="2835" w:hanging="2835"/>
        <w:rPr>
          <w:rFonts w:ascii="Arial" w:hAnsi="Arial" w:cs="Arial"/>
          <w:lang w:val="en-GB"/>
        </w:rPr>
      </w:pPr>
      <w:r>
        <w:rPr>
          <w:rFonts w:ascii="Arial" w:hAnsi="Arial" w:cs="Arial"/>
          <w:b/>
        </w:rPr>
        <w:tab/>
      </w:r>
      <w:r w:rsidRPr="008B2E05">
        <w:rPr>
          <w:rFonts w:ascii="Arial" w:hAnsi="Arial" w:cs="Arial"/>
        </w:rPr>
        <w:t>Mr David Loy</w:t>
      </w:r>
      <w:r w:rsidR="005074F4" w:rsidRPr="008B2E05">
        <w:rPr>
          <w:rFonts w:ascii="Arial" w:hAnsi="Arial" w:cs="Arial"/>
          <w:lang w:val="en-GB"/>
        </w:rPr>
        <w:t xml:space="preserve"> </w:t>
      </w:r>
    </w:p>
    <w:p w:rsidR="005074F4" w:rsidRPr="00300C21" w:rsidRDefault="005074F4" w:rsidP="005074F4">
      <w:pPr>
        <w:spacing w:after="0"/>
        <w:ind w:left="2835" w:hanging="2835"/>
        <w:rPr>
          <w:rFonts w:ascii="Arial" w:hAnsi="Arial" w:cs="Arial"/>
          <w:b/>
        </w:rPr>
      </w:pPr>
    </w:p>
    <w:p w:rsidR="005074F4" w:rsidRPr="00300C21" w:rsidRDefault="005074F4" w:rsidP="005074F4">
      <w:pPr>
        <w:spacing w:after="0" w:line="360" w:lineRule="auto"/>
        <w:ind w:left="2835" w:hanging="2835"/>
        <w:rPr>
          <w:rFonts w:ascii="Arial" w:hAnsi="Arial" w:cs="Arial"/>
        </w:rPr>
      </w:pPr>
      <w:r w:rsidRPr="00300C21">
        <w:rPr>
          <w:rFonts w:ascii="Arial" w:hAnsi="Arial" w:cs="Arial"/>
          <w:b/>
        </w:rPr>
        <w:t xml:space="preserve">Date of </w:t>
      </w:r>
      <w:r w:rsidRPr="00300C21">
        <w:rPr>
          <w:rFonts w:ascii="Arial" w:hAnsi="Arial"/>
          <w:b/>
        </w:rPr>
        <w:t>Decision</w:t>
      </w:r>
      <w:r w:rsidRPr="00300C21">
        <w:rPr>
          <w:rFonts w:ascii="Arial" w:hAnsi="Arial" w:cs="Arial"/>
          <w:b/>
        </w:rPr>
        <w:t>:</w:t>
      </w:r>
      <w:r w:rsidRPr="00973180">
        <w:rPr>
          <w:rFonts w:ascii="Arial" w:hAnsi="Arial" w:cs="Arial"/>
        </w:rPr>
        <w:tab/>
      </w:r>
      <w:r w:rsidR="00864679">
        <w:rPr>
          <w:rFonts w:ascii="Arial" w:hAnsi="Arial" w:cs="Arial"/>
        </w:rPr>
        <w:t>15</w:t>
      </w:r>
      <w:r w:rsidR="00973180" w:rsidRPr="00973180">
        <w:rPr>
          <w:rFonts w:ascii="Arial" w:hAnsi="Arial" w:cs="Arial"/>
        </w:rPr>
        <w:t xml:space="preserve"> November 2017</w:t>
      </w:r>
    </w:p>
    <w:p w:rsidR="005074F4" w:rsidRDefault="005074F4" w:rsidP="005074F4">
      <w:pPr>
        <w:pStyle w:val="BottomLine"/>
      </w:pPr>
    </w:p>
    <w:p w:rsidR="005074F4" w:rsidRPr="005074F4" w:rsidRDefault="005074F4" w:rsidP="005074F4">
      <w:pPr>
        <w:spacing w:after="0" w:line="360" w:lineRule="auto"/>
        <w:ind w:left="113"/>
        <w:jc w:val="both"/>
        <w:rPr>
          <w:rFonts w:ascii="Arial" w:hAnsi="Arial" w:cs="Arial"/>
          <w:b/>
        </w:rPr>
      </w:pPr>
      <w:r>
        <w:rPr>
          <w:rFonts w:ascii="Arial" w:hAnsi="Arial" w:cs="Arial"/>
          <w:b/>
        </w:rPr>
        <w:t>BACKGROUND</w:t>
      </w:r>
    </w:p>
    <w:p w:rsidR="00232F3D" w:rsidRDefault="00710F83" w:rsidP="00BA41A8">
      <w:pPr>
        <w:pStyle w:val="ListParagraph"/>
        <w:numPr>
          <w:ilvl w:val="0"/>
          <w:numId w:val="1"/>
        </w:numPr>
        <w:spacing w:after="0"/>
        <w:jc w:val="both"/>
        <w:rPr>
          <w:rFonts w:ascii="Arial" w:hAnsi="Arial" w:cs="Arial"/>
          <w:i/>
        </w:rPr>
      </w:pPr>
      <w:r>
        <w:rPr>
          <w:rFonts w:ascii="Arial" w:hAnsi="Arial" w:cs="Arial"/>
        </w:rPr>
        <w:t xml:space="preserve">On </w:t>
      </w:r>
      <w:r w:rsidR="007462EC">
        <w:rPr>
          <w:rFonts w:ascii="Arial" w:hAnsi="Arial" w:cs="Arial"/>
        </w:rPr>
        <w:t>2 June 2017</w:t>
      </w:r>
      <w:r w:rsidR="00F833A3">
        <w:rPr>
          <w:rFonts w:ascii="Arial" w:hAnsi="Arial" w:cs="Arial"/>
        </w:rPr>
        <w:t>,</w:t>
      </w:r>
      <w:r w:rsidR="00024788">
        <w:rPr>
          <w:rFonts w:ascii="Arial" w:hAnsi="Arial" w:cs="Arial"/>
        </w:rPr>
        <w:t xml:space="preserve"> </w:t>
      </w:r>
      <w:r w:rsidR="007462EC">
        <w:rPr>
          <w:rFonts w:ascii="Arial" w:hAnsi="Arial" w:cs="Arial"/>
        </w:rPr>
        <w:t xml:space="preserve">Mr </w:t>
      </w:r>
      <w:r w:rsidR="007F3330">
        <w:rPr>
          <w:rFonts w:ascii="Arial" w:hAnsi="Arial" w:cs="Arial"/>
        </w:rPr>
        <w:t>O</w:t>
      </w:r>
      <w:r w:rsidR="007462EC">
        <w:rPr>
          <w:rFonts w:ascii="Arial" w:hAnsi="Arial" w:cs="Arial"/>
        </w:rPr>
        <w:t xml:space="preserve"> lodged a gambling dispute against NT Sports Bookmaker Ladbrokes Digital Australia Pty Ltd (The </w:t>
      </w:r>
      <w:r w:rsidR="00D64EEF">
        <w:rPr>
          <w:rFonts w:ascii="Arial" w:hAnsi="Arial" w:cs="Arial"/>
        </w:rPr>
        <w:t>b</w:t>
      </w:r>
      <w:r w:rsidR="007462EC">
        <w:rPr>
          <w:rFonts w:ascii="Arial" w:hAnsi="Arial" w:cs="Arial"/>
        </w:rPr>
        <w:t>ookmaker).</w:t>
      </w:r>
    </w:p>
    <w:p w:rsidR="00D32836" w:rsidRPr="00D32836" w:rsidRDefault="00D32836" w:rsidP="00046120">
      <w:pPr>
        <w:spacing w:after="0"/>
        <w:ind w:left="360"/>
        <w:jc w:val="both"/>
        <w:rPr>
          <w:rFonts w:ascii="Arial" w:hAnsi="Arial" w:cs="Arial"/>
          <w:i/>
        </w:rPr>
      </w:pPr>
    </w:p>
    <w:p w:rsidR="00B5728A" w:rsidRDefault="007462EC" w:rsidP="00BA41A8">
      <w:pPr>
        <w:pStyle w:val="ListParagraph"/>
        <w:numPr>
          <w:ilvl w:val="0"/>
          <w:numId w:val="1"/>
        </w:numPr>
        <w:spacing w:after="0"/>
        <w:jc w:val="both"/>
        <w:rPr>
          <w:rFonts w:ascii="Arial" w:hAnsi="Arial" w:cs="Arial"/>
        </w:rPr>
      </w:pPr>
      <w:r>
        <w:rPr>
          <w:rFonts w:ascii="Arial" w:hAnsi="Arial" w:cs="Arial"/>
        </w:rPr>
        <w:t xml:space="preserve">This dispute centres around a number of multibets made by Mr </w:t>
      </w:r>
      <w:r w:rsidR="007F3330">
        <w:rPr>
          <w:rFonts w:ascii="Arial" w:hAnsi="Arial" w:cs="Arial"/>
        </w:rPr>
        <w:t>O</w:t>
      </w:r>
      <w:r>
        <w:rPr>
          <w:rFonts w:ascii="Arial" w:hAnsi="Arial" w:cs="Arial"/>
        </w:rPr>
        <w:t xml:space="preserve"> on </w:t>
      </w:r>
      <w:r>
        <w:rPr>
          <w:rFonts w:ascii="Arial" w:hAnsi="Arial" w:cs="Arial"/>
        </w:rPr>
        <w:br/>
        <w:t>21 May 2017 on the final round of the English Premier League.</w:t>
      </w:r>
    </w:p>
    <w:p w:rsidR="00046120" w:rsidRPr="00C41DAC" w:rsidRDefault="00046120" w:rsidP="00271878">
      <w:pPr>
        <w:spacing w:after="0"/>
        <w:ind w:left="709"/>
        <w:rPr>
          <w:rFonts w:ascii="Arial" w:hAnsi="Arial" w:cs="Arial"/>
        </w:rPr>
      </w:pPr>
    </w:p>
    <w:p w:rsidR="00CA0948" w:rsidRDefault="007462EC" w:rsidP="00BA41A8">
      <w:pPr>
        <w:pStyle w:val="ListParagraph"/>
        <w:numPr>
          <w:ilvl w:val="0"/>
          <w:numId w:val="1"/>
        </w:numPr>
        <w:spacing w:after="0"/>
        <w:jc w:val="both"/>
        <w:rPr>
          <w:rFonts w:ascii="Arial" w:hAnsi="Arial" w:cs="Arial"/>
        </w:rPr>
      </w:pPr>
      <w:r>
        <w:rPr>
          <w:rFonts w:ascii="Arial" w:hAnsi="Arial" w:cs="Arial"/>
        </w:rPr>
        <w:t xml:space="preserve">Mr </w:t>
      </w:r>
      <w:r w:rsidR="007F3330">
        <w:rPr>
          <w:rFonts w:ascii="Arial" w:hAnsi="Arial" w:cs="Arial"/>
        </w:rPr>
        <w:t>O</w:t>
      </w:r>
      <w:r>
        <w:rPr>
          <w:rFonts w:ascii="Arial" w:hAnsi="Arial" w:cs="Arial"/>
        </w:rPr>
        <w:t xml:space="preserve"> claims that “Some of the bets won and then Ladbrokes cancelled the bets saying there was a pricing error”.</w:t>
      </w:r>
    </w:p>
    <w:p w:rsidR="00A22D73" w:rsidRPr="00CA0948" w:rsidRDefault="00A22D73" w:rsidP="00CA0948">
      <w:pPr>
        <w:spacing w:after="0"/>
        <w:ind w:left="360"/>
        <w:jc w:val="both"/>
        <w:rPr>
          <w:rFonts w:ascii="Arial" w:hAnsi="Arial" w:cs="Arial"/>
        </w:rPr>
      </w:pPr>
    </w:p>
    <w:p w:rsidR="00E41A8D" w:rsidRPr="00AB6F09" w:rsidRDefault="007462EC" w:rsidP="00BA41A8">
      <w:pPr>
        <w:pStyle w:val="ListParagraph"/>
        <w:numPr>
          <w:ilvl w:val="0"/>
          <w:numId w:val="1"/>
        </w:numPr>
        <w:spacing w:after="0"/>
        <w:jc w:val="both"/>
        <w:rPr>
          <w:rFonts w:ascii="Arial" w:hAnsi="Arial" w:cs="Arial"/>
          <w:i/>
        </w:rPr>
      </w:pPr>
      <w:r>
        <w:rPr>
          <w:rFonts w:ascii="Arial" w:hAnsi="Arial" w:cs="Arial"/>
        </w:rPr>
        <w:t>The bookmaker has provided a detailed response to the di</w:t>
      </w:r>
      <w:bookmarkStart w:id="0" w:name="_GoBack"/>
      <w:bookmarkEnd w:id="0"/>
      <w:r>
        <w:rPr>
          <w:rFonts w:ascii="Arial" w:hAnsi="Arial" w:cs="Arial"/>
        </w:rPr>
        <w:t>spute advising that “On 21 and 22 May 2017, the client placed 33 multi bet wagers, which included one leg on the market on the amount of passes that would be completed by Scott McTominay (playing for Manchester United against Crystal Palace).  No multi bets were placed that did not include this market.  No other multi bets were placed on any other EPL games.</w:t>
      </w:r>
    </w:p>
    <w:p w:rsidR="00AB6F09" w:rsidRDefault="00AB6F09" w:rsidP="00AB6F09">
      <w:pPr>
        <w:spacing w:after="0"/>
        <w:jc w:val="both"/>
        <w:rPr>
          <w:rFonts w:ascii="Arial" w:hAnsi="Arial" w:cs="Arial"/>
          <w:i/>
        </w:rPr>
      </w:pPr>
    </w:p>
    <w:p w:rsidR="00E06265" w:rsidRDefault="00062482" w:rsidP="00BA41A8">
      <w:pPr>
        <w:pStyle w:val="ListParagraph"/>
        <w:numPr>
          <w:ilvl w:val="0"/>
          <w:numId w:val="1"/>
        </w:numPr>
        <w:spacing w:after="0"/>
        <w:jc w:val="both"/>
        <w:rPr>
          <w:rFonts w:ascii="Arial" w:hAnsi="Arial" w:cs="Arial"/>
        </w:rPr>
      </w:pPr>
      <w:r>
        <w:rPr>
          <w:rFonts w:ascii="Arial" w:hAnsi="Arial" w:cs="Arial"/>
        </w:rPr>
        <w:t xml:space="preserve">The </w:t>
      </w:r>
      <w:r w:rsidR="0001488C">
        <w:rPr>
          <w:rFonts w:ascii="Arial" w:hAnsi="Arial" w:cs="Arial"/>
        </w:rPr>
        <w:t>bookmaker has advised that the clients wagers were accepted, however later voided due to the incorrect prices being displayed.</w:t>
      </w:r>
    </w:p>
    <w:p w:rsidR="005909E8" w:rsidRPr="005909E8" w:rsidRDefault="005909E8" w:rsidP="005909E8">
      <w:pPr>
        <w:spacing w:after="0"/>
        <w:ind w:left="360"/>
        <w:jc w:val="both"/>
        <w:rPr>
          <w:rFonts w:ascii="Arial" w:hAnsi="Arial" w:cs="Arial"/>
        </w:rPr>
      </w:pPr>
    </w:p>
    <w:p w:rsidR="00E06265" w:rsidRDefault="0001488C" w:rsidP="00BA41A8">
      <w:pPr>
        <w:pStyle w:val="ListParagraph"/>
        <w:numPr>
          <w:ilvl w:val="0"/>
          <w:numId w:val="1"/>
        </w:numPr>
        <w:spacing w:after="0"/>
        <w:jc w:val="both"/>
        <w:rPr>
          <w:rFonts w:ascii="Arial" w:hAnsi="Arial" w:cs="Arial"/>
        </w:rPr>
      </w:pPr>
      <w:r>
        <w:rPr>
          <w:rFonts w:ascii="Arial" w:hAnsi="Arial" w:cs="Arial"/>
        </w:rPr>
        <w:t xml:space="preserve">To support the bookmaker’s rationale for voiding the </w:t>
      </w:r>
      <w:r w:rsidR="00E049F2">
        <w:rPr>
          <w:rFonts w:ascii="Arial" w:hAnsi="Arial" w:cs="Arial"/>
        </w:rPr>
        <w:t>client’s</w:t>
      </w:r>
      <w:r>
        <w:rPr>
          <w:rFonts w:ascii="Arial" w:hAnsi="Arial" w:cs="Arial"/>
        </w:rPr>
        <w:t xml:space="preserve"> wagers they have provided a comparison of the incorrect odds the client received against the correct odds that the client was entitled to</w:t>
      </w:r>
      <w:r w:rsidR="00BB6246">
        <w:rPr>
          <w:rFonts w:ascii="Arial" w:hAnsi="Arial" w:cs="Arial"/>
        </w:rPr>
        <w:t>.</w:t>
      </w:r>
    </w:p>
    <w:p w:rsidR="00E049F2" w:rsidRPr="00E049F2" w:rsidRDefault="00E049F2" w:rsidP="00E049F2">
      <w:pPr>
        <w:spacing w:after="0"/>
        <w:ind w:left="360"/>
        <w:jc w:val="both"/>
        <w:rPr>
          <w:rFonts w:ascii="Arial" w:hAnsi="Arial" w:cs="Arial"/>
        </w:rPr>
      </w:pPr>
    </w:p>
    <w:p w:rsidR="00E049F2" w:rsidRPr="00147149" w:rsidRDefault="00E049F2" w:rsidP="00E049F2">
      <w:pPr>
        <w:spacing w:after="0"/>
        <w:ind w:left="113"/>
        <w:jc w:val="both"/>
        <w:rPr>
          <w:rFonts w:ascii="Arial" w:hAnsi="Arial" w:cs="Arial"/>
          <w:b/>
        </w:rPr>
      </w:pPr>
      <w:r>
        <w:rPr>
          <w:rFonts w:ascii="Arial" w:hAnsi="Arial" w:cs="Arial"/>
          <w:b/>
        </w:rPr>
        <w:t>FACTS OF THE MATTER</w:t>
      </w:r>
    </w:p>
    <w:p w:rsidR="00B74247" w:rsidRDefault="00B74247" w:rsidP="00B74247">
      <w:pPr>
        <w:spacing w:after="0"/>
        <w:jc w:val="both"/>
        <w:rPr>
          <w:rFonts w:ascii="Arial" w:hAnsi="Arial" w:cs="Arial"/>
        </w:rPr>
      </w:pPr>
    </w:p>
    <w:p w:rsidR="000D54BC" w:rsidRDefault="00E049F2" w:rsidP="00BA41A8">
      <w:pPr>
        <w:pStyle w:val="ListParagraph"/>
        <w:numPr>
          <w:ilvl w:val="0"/>
          <w:numId w:val="1"/>
        </w:numPr>
        <w:spacing w:after="0"/>
        <w:jc w:val="both"/>
        <w:rPr>
          <w:rFonts w:ascii="Arial" w:hAnsi="Arial" w:cs="Arial"/>
        </w:rPr>
      </w:pPr>
      <w:r>
        <w:rPr>
          <w:rFonts w:ascii="Arial" w:hAnsi="Arial" w:cs="Arial"/>
        </w:rPr>
        <w:t>The prices for the market relating to passes completed by Scott McTominay a</w:t>
      </w:r>
      <w:r w:rsidR="00B806B0">
        <w:rPr>
          <w:rFonts w:ascii="Arial" w:hAnsi="Arial" w:cs="Arial"/>
        </w:rPr>
        <w:t>t</w:t>
      </w:r>
      <w:r>
        <w:rPr>
          <w:rFonts w:ascii="Arial" w:hAnsi="Arial" w:cs="Arial"/>
        </w:rPr>
        <w:t xml:space="preserve"> which bets were accepted and the correct price are set out below:</w:t>
      </w:r>
    </w:p>
    <w:p w:rsidR="00E049F2" w:rsidRDefault="00E049F2" w:rsidP="00E049F2">
      <w:pPr>
        <w:spacing w:after="0"/>
        <w:jc w:val="both"/>
        <w:rPr>
          <w:rFonts w:ascii="Arial" w:hAnsi="Arial" w:cs="Arial"/>
        </w:rPr>
      </w:pPr>
    </w:p>
    <w:p w:rsidR="00E049F2" w:rsidRDefault="00E049F2" w:rsidP="00E049F2">
      <w:pPr>
        <w:spacing w:after="0"/>
        <w:jc w:val="both"/>
        <w:rPr>
          <w:rFonts w:ascii="Arial" w:hAnsi="Arial" w:cs="Arial"/>
        </w:rPr>
      </w:pPr>
    </w:p>
    <w:p w:rsidR="00E049F2" w:rsidRPr="00725065" w:rsidRDefault="00E049F2" w:rsidP="00E049F2">
      <w:pPr>
        <w:spacing w:after="0"/>
        <w:ind w:left="720"/>
        <w:jc w:val="both"/>
        <w:rPr>
          <w:rFonts w:ascii="Arial" w:hAnsi="Arial" w:cs="Arial"/>
          <w:b/>
          <w:u w:val="single"/>
        </w:rPr>
      </w:pPr>
      <w:r w:rsidRPr="00725065">
        <w:rPr>
          <w:rFonts w:ascii="Arial" w:hAnsi="Arial" w:cs="Arial"/>
          <w:b/>
          <w:u w:val="single"/>
        </w:rPr>
        <w:lastRenderedPageBreak/>
        <w:t>Manchester United against Crystal Palace</w:t>
      </w:r>
    </w:p>
    <w:p w:rsidR="00E049F2" w:rsidRDefault="00E049F2" w:rsidP="00E049F2">
      <w:pPr>
        <w:spacing w:after="0"/>
        <w:ind w:left="720"/>
        <w:jc w:val="both"/>
        <w:rPr>
          <w:rFonts w:ascii="Arial" w:hAnsi="Arial" w:cs="Arial"/>
          <w:u w:val="single"/>
        </w:rPr>
      </w:pPr>
    </w:p>
    <w:tbl>
      <w:tblPr>
        <w:tblStyle w:val="TableGrid"/>
        <w:tblW w:w="0" w:type="auto"/>
        <w:tblInd w:w="720" w:type="dxa"/>
        <w:tblLook w:val="04A0" w:firstRow="1" w:lastRow="0" w:firstColumn="1" w:lastColumn="0" w:noHBand="0" w:noVBand="1"/>
      </w:tblPr>
      <w:tblGrid>
        <w:gridCol w:w="2821"/>
        <w:gridCol w:w="2793"/>
        <w:gridCol w:w="2848"/>
      </w:tblGrid>
      <w:tr w:rsidR="00866527" w:rsidRPr="00866527" w:rsidTr="00866527">
        <w:tc>
          <w:tcPr>
            <w:tcW w:w="3136" w:type="dxa"/>
            <w:shd w:val="clear" w:color="auto" w:fill="000000" w:themeFill="text1"/>
          </w:tcPr>
          <w:p w:rsidR="00E049F2" w:rsidRPr="00866527" w:rsidRDefault="00E049F2" w:rsidP="00E049F2">
            <w:pPr>
              <w:jc w:val="center"/>
              <w:rPr>
                <w:rFonts w:ascii="Arial" w:hAnsi="Arial" w:cs="Arial"/>
                <w:b/>
                <w:color w:val="FFFFFF" w:themeColor="background1"/>
              </w:rPr>
            </w:pPr>
            <w:r w:rsidRPr="00866527">
              <w:rPr>
                <w:rFonts w:ascii="Arial" w:hAnsi="Arial" w:cs="Arial"/>
                <w:b/>
                <w:color w:val="FFFFFF" w:themeColor="background1"/>
              </w:rPr>
              <w:t>Passes</w:t>
            </w:r>
          </w:p>
        </w:tc>
        <w:tc>
          <w:tcPr>
            <w:tcW w:w="3136" w:type="dxa"/>
            <w:shd w:val="clear" w:color="auto" w:fill="000000" w:themeFill="text1"/>
          </w:tcPr>
          <w:p w:rsidR="00E049F2" w:rsidRPr="00866527" w:rsidRDefault="00E049F2" w:rsidP="00E049F2">
            <w:pPr>
              <w:jc w:val="center"/>
              <w:rPr>
                <w:rFonts w:ascii="Arial" w:hAnsi="Arial" w:cs="Arial"/>
                <w:b/>
                <w:color w:val="FFFFFF" w:themeColor="background1"/>
              </w:rPr>
            </w:pPr>
            <w:r w:rsidRPr="00866527">
              <w:rPr>
                <w:rFonts w:ascii="Arial" w:hAnsi="Arial" w:cs="Arial"/>
                <w:b/>
                <w:color w:val="FFFFFF" w:themeColor="background1"/>
              </w:rPr>
              <w:t>Odds</w:t>
            </w:r>
          </w:p>
        </w:tc>
        <w:tc>
          <w:tcPr>
            <w:tcW w:w="3136" w:type="dxa"/>
            <w:shd w:val="clear" w:color="auto" w:fill="000000" w:themeFill="text1"/>
          </w:tcPr>
          <w:p w:rsidR="00E049F2" w:rsidRPr="00866527" w:rsidRDefault="00E049F2" w:rsidP="00E049F2">
            <w:pPr>
              <w:jc w:val="center"/>
              <w:rPr>
                <w:rFonts w:ascii="Arial" w:hAnsi="Arial" w:cs="Arial"/>
                <w:b/>
                <w:color w:val="FFFFFF" w:themeColor="background1"/>
              </w:rPr>
            </w:pPr>
            <w:r w:rsidRPr="00866527">
              <w:rPr>
                <w:rFonts w:ascii="Arial" w:hAnsi="Arial" w:cs="Arial"/>
                <w:b/>
                <w:color w:val="FFFFFF" w:themeColor="background1"/>
              </w:rPr>
              <w:t>Incorrect</w:t>
            </w:r>
          </w:p>
        </w:tc>
      </w:tr>
      <w:tr w:rsidR="00E049F2" w:rsidTr="00E049F2">
        <w:tc>
          <w:tcPr>
            <w:tcW w:w="3136" w:type="dxa"/>
          </w:tcPr>
          <w:p w:rsidR="00E049F2" w:rsidRPr="00E049F2" w:rsidRDefault="00E049F2" w:rsidP="00E049F2">
            <w:pPr>
              <w:jc w:val="center"/>
              <w:rPr>
                <w:rFonts w:ascii="Arial" w:hAnsi="Arial" w:cs="Arial"/>
              </w:rPr>
            </w:pPr>
            <w:r w:rsidRPr="00E049F2">
              <w:rPr>
                <w:rFonts w:ascii="Arial" w:hAnsi="Arial" w:cs="Arial"/>
              </w:rPr>
              <w:t>31</w:t>
            </w:r>
          </w:p>
        </w:tc>
        <w:tc>
          <w:tcPr>
            <w:tcW w:w="3136" w:type="dxa"/>
          </w:tcPr>
          <w:p w:rsidR="00E049F2" w:rsidRPr="00E049F2" w:rsidRDefault="00E049F2" w:rsidP="00E049F2">
            <w:pPr>
              <w:jc w:val="center"/>
              <w:rPr>
                <w:rFonts w:ascii="Arial" w:hAnsi="Arial" w:cs="Arial"/>
              </w:rPr>
            </w:pPr>
            <w:r w:rsidRPr="00E049F2">
              <w:rPr>
                <w:rFonts w:ascii="Arial" w:hAnsi="Arial" w:cs="Arial"/>
              </w:rPr>
              <w:t>1.15</w:t>
            </w:r>
          </w:p>
        </w:tc>
        <w:tc>
          <w:tcPr>
            <w:tcW w:w="3136" w:type="dxa"/>
          </w:tcPr>
          <w:p w:rsidR="00E049F2" w:rsidRPr="00E049F2" w:rsidRDefault="00E049F2" w:rsidP="00E049F2">
            <w:pPr>
              <w:jc w:val="center"/>
              <w:rPr>
                <w:rFonts w:ascii="Arial" w:hAnsi="Arial" w:cs="Arial"/>
              </w:rPr>
            </w:pPr>
            <w:r w:rsidRPr="00E049F2">
              <w:rPr>
                <w:rFonts w:ascii="Arial" w:hAnsi="Arial" w:cs="Arial"/>
              </w:rPr>
              <w:t>3.25</w:t>
            </w:r>
          </w:p>
        </w:tc>
      </w:tr>
      <w:tr w:rsidR="00E049F2" w:rsidTr="00E049F2">
        <w:tc>
          <w:tcPr>
            <w:tcW w:w="3136" w:type="dxa"/>
          </w:tcPr>
          <w:p w:rsidR="00E049F2" w:rsidRPr="00E049F2" w:rsidRDefault="00E049F2" w:rsidP="00E049F2">
            <w:pPr>
              <w:jc w:val="center"/>
              <w:rPr>
                <w:rFonts w:ascii="Arial" w:hAnsi="Arial" w:cs="Arial"/>
              </w:rPr>
            </w:pPr>
            <w:r w:rsidRPr="00E049F2">
              <w:rPr>
                <w:rFonts w:ascii="Arial" w:hAnsi="Arial" w:cs="Arial"/>
              </w:rPr>
              <w:t>33</w:t>
            </w:r>
          </w:p>
        </w:tc>
        <w:tc>
          <w:tcPr>
            <w:tcW w:w="3136" w:type="dxa"/>
          </w:tcPr>
          <w:p w:rsidR="00E049F2" w:rsidRPr="00E049F2" w:rsidRDefault="00E049F2" w:rsidP="00E049F2">
            <w:pPr>
              <w:jc w:val="center"/>
              <w:rPr>
                <w:rFonts w:ascii="Arial" w:hAnsi="Arial" w:cs="Arial"/>
              </w:rPr>
            </w:pPr>
            <w:r w:rsidRPr="00E049F2">
              <w:rPr>
                <w:rFonts w:ascii="Arial" w:hAnsi="Arial" w:cs="Arial"/>
              </w:rPr>
              <w:t>1.25</w:t>
            </w:r>
          </w:p>
        </w:tc>
        <w:tc>
          <w:tcPr>
            <w:tcW w:w="3136" w:type="dxa"/>
          </w:tcPr>
          <w:p w:rsidR="00E049F2" w:rsidRPr="00E049F2" w:rsidRDefault="00E049F2" w:rsidP="00E049F2">
            <w:pPr>
              <w:jc w:val="center"/>
              <w:rPr>
                <w:rFonts w:ascii="Arial" w:hAnsi="Arial" w:cs="Arial"/>
              </w:rPr>
            </w:pPr>
            <w:r w:rsidRPr="00E049F2">
              <w:rPr>
                <w:rFonts w:ascii="Arial" w:hAnsi="Arial" w:cs="Arial"/>
              </w:rPr>
              <w:t>4.65</w:t>
            </w:r>
          </w:p>
        </w:tc>
      </w:tr>
      <w:tr w:rsidR="00E049F2" w:rsidTr="00E049F2">
        <w:tc>
          <w:tcPr>
            <w:tcW w:w="3136" w:type="dxa"/>
          </w:tcPr>
          <w:p w:rsidR="00E049F2" w:rsidRPr="00E049F2" w:rsidRDefault="00E049F2" w:rsidP="00E049F2">
            <w:pPr>
              <w:jc w:val="center"/>
              <w:rPr>
                <w:rFonts w:ascii="Arial" w:hAnsi="Arial" w:cs="Arial"/>
              </w:rPr>
            </w:pPr>
            <w:r w:rsidRPr="00E049F2">
              <w:rPr>
                <w:rFonts w:ascii="Arial" w:hAnsi="Arial" w:cs="Arial"/>
              </w:rPr>
              <w:t>36</w:t>
            </w:r>
          </w:p>
        </w:tc>
        <w:tc>
          <w:tcPr>
            <w:tcW w:w="3136" w:type="dxa"/>
          </w:tcPr>
          <w:p w:rsidR="00E049F2" w:rsidRPr="00E049F2" w:rsidRDefault="00E049F2" w:rsidP="00E049F2">
            <w:pPr>
              <w:jc w:val="center"/>
              <w:rPr>
                <w:rFonts w:ascii="Arial" w:hAnsi="Arial" w:cs="Arial"/>
              </w:rPr>
            </w:pPr>
            <w:r w:rsidRPr="00E049F2">
              <w:rPr>
                <w:rFonts w:ascii="Arial" w:hAnsi="Arial" w:cs="Arial"/>
              </w:rPr>
              <w:t>1.46</w:t>
            </w:r>
          </w:p>
        </w:tc>
        <w:tc>
          <w:tcPr>
            <w:tcW w:w="3136" w:type="dxa"/>
          </w:tcPr>
          <w:p w:rsidR="00E049F2" w:rsidRPr="00E049F2" w:rsidRDefault="00E049F2" w:rsidP="00E049F2">
            <w:pPr>
              <w:jc w:val="center"/>
              <w:rPr>
                <w:rFonts w:ascii="Arial" w:hAnsi="Arial" w:cs="Arial"/>
              </w:rPr>
            </w:pPr>
            <w:r w:rsidRPr="00E049F2">
              <w:rPr>
                <w:rFonts w:ascii="Arial" w:hAnsi="Arial" w:cs="Arial"/>
              </w:rPr>
              <w:t>8.92</w:t>
            </w:r>
          </w:p>
        </w:tc>
      </w:tr>
      <w:tr w:rsidR="00E049F2" w:rsidTr="00E049F2">
        <w:tc>
          <w:tcPr>
            <w:tcW w:w="3136" w:type="dxa"/>
          </w:tcPr>
          <w:p w:rsidR="00E049F2" w:rsidRPr="00E049F2" w:rsidRDefault="00E049F2" w:rsidP="00E049F2">
            <w:pPr>
              <w:jc w:val="center"/>
              <w:rPr>
                <w:rFonts w:ascii="Arial" w:hAnsi="Arial" w:cs="Arial"/>
              </w:rPr>
            </w:pPr>
            <w:r w:rsidRPr="00E049F2">
              <w:rPr>
                <w:rFonts w:ascii="Arial" w:hAnsi="Arial" w:cs="Arial"/>
              </w:rPr>
              <w:t>38</w:t>
            </w:r>
          </w:p>
        </w:tc>
        <w:tc>
          <w:tcPr>
            <w:tcW w:w="3136" w:type="dxa"/>
          </w:tcPr>
          <w:p w:rsidR="00E049F2" w:rsidRPr="00E049F2" w:rsidRDefault="00E049F2" w:rsidP="00E049F2">
            <w:pPr>
              <w:jc w:val="center"/>
              <w:rPr>
                <w:rFonts w:ascii="Arial" w:hAnsi="Arial" w:cs="Arial"/>
              </w:rPr>
            </w:pPr>
            <w:r w:rsidRPr="00E049F2">
              <w:rPr>
                <w:rFonts w:ascii="Arial" w:hAnsi="Arial" w:cs="Arial"/>
              </w:rPr>
              <w:t>1.63</w:t>
            </w:r>
          </w:p>
        </w:tc>
        <w:tc>
          <w:tcPr>
            <w:tcW w:w="3136" w:type="dxa"/>
          </w:tcPr>
          <w:p w:rsidR="00E049F2" w:rsidRPr="00E049F2" w:rsidRDefault="00E049F2" w:rsidP="00E049F2">
            <w:pPr>
              <w:jc w:val="center"/>
              <w:rPr>
                <w:rFonts w:ascii="Arial" w:hAnsi="Arial" w:cs="Arial"/>
              </w:rPr>
            </w:pPr>
            <w:r w:rsidRPr="00E049F2">
              <w:rPr>
                <w:rFonts w:ascii="Arial" w:hAnsi="Arial" w:cs="Arial"/>
              </w:rPr>
              <w:t>10.00</w:t>
            </w:r>
          </w:p>
        </w:tc>
      </w:tr>
      <w:tr w:rsidR="00E049F2" w:rsidTr="00E049F2">
        <w:tc>
          <w:tcPr>
            <w:tcW w:w="3136" w:type="dxa"/>
          </w:tcPr>
          <w:p w:rsidR="00E049F2" w:rsidRPr="00E049F2" w:rsidRDefault="00E049F2" w:rsidP="00E049F2">
            <w:pPr>
              <w:jc w:val="center"/>
              <w:rPr>
                <w:rFonts w:ascii="Arial" w:hAnsi="Arial" w:cs="Arial"/>
              </w:rPr>
            </w:pPr>
            <w:r w:rsidRPr="00E049F2">
              <w:rPr>
                <w:rFonts w:ascii="Arial" w:hAnsi="Arial" w:cs="Arial"/>
              </w:rPr>
              <w:t>40</w:t>
            </w:r>
          </w:p>
        </w:tc>
        <w:tc>
          <w:tcPr>
            <w:tcW w:w="3136" w:type="dxa"/>
          </w:tcPr>
          <w:p w:rsidR="00E049F2" w:rsidRPr="00E049F2" w:rsidRDefault="00E049F2" w:rsidP="00E049F2">
            <w:pPr>
              <w:jc w:val="center"/>
              <w:rPr>
                <w:rFonts w:ascii="Arial" w:hAnsi="Arial" w:cs="Arial"/>
              </w:rPr>
            </w:pPr>
            <w:r w:rsidRPr="00E049F2">
              <w:rPr>
                <w:rFonts w:ascii="Arial" w:hAnsi="Arial" w:cs="Arial"/>
              </w:rPr>
              <w:t>1.85</w:t>
            </w:r>
          </w:p>
        </w:tc>
        <w:tc>
          <w:tcPr>
            <w:tcW w:w="3136" w:type="dxa"/>
          </w:tcPr>
          <w:p w:rsidR="00E049F2" w:rsidRPr="00E049F2" w:rsidRDefault="00E049F2" w:rsidP="00E049F2">
            <w:pPr>
              <w:jc w:val="center"/>
              <w:rPr>
                <w:rFonts w:ascii="Arial" w:hAnsi="Arial" w:cs="Arial"/>
              </w:rPr>
            </w:pPr>
            <w:r w:rsidRPr="00E049F2">
              <w:rPr>
                <w:rFonts w:ascii="Arial" w:hAnsi="Arial" w:cs="Arial"/>
              </w:rPr>
              <w:t>13.90</w:t>
            </w:r>
          </w:p>
        </w:tc>
      </w:tr>
      <w:tr w:rsidR="00E049F2" w:rsidTr="00E049F2">
        <w:tc>
          <w:tcPr>
            <w:tcW w:w="3136" w:type="dxa"/>
          </w:tcPr>
          <w:p w:rsidR="00E049F2" w:rsidRPr="00E049F2" w:rsidRDefault="00E049F2" w:rsidP="00E049F2">
            <w:pPr>
              <w:jc w:val="center"/>
              <w:rPr>
                <w:rFonts w:ascii="Arial" w:hAnsi="Arial" w:cs="Arial"/>
              </w:rPr>
            </w:pPr>
            <w:r w:rsidRPr="00E049F2">
              <w:rPr>
                <w:rFonts w:ascii="Arial" w:hAnsi="Arial" w:cs="Arial"/>
              </w:rPr>
              <w:t>41</w:t>
            </w:r>
          </w:p>
        </w:tc>
        <w:tc>
          <w:tcPr>
            <w:tcW w:w="3136" w:type="dxa"/>
          </w:tcPr>
          <w:p w:rsidR="00E049F2" w:rsidRPr="00E049F2" w:rsidRDefault="00E049F2" w:rsidP="00E049F2">
            <w:pPr>
              <w:jc w:val="center"/>
              <w:rPr>
                <w:rFonts w:ascii="Arial" w:hAnsi="Arial" w:cs="Arial"/>
              </w:rPr>
            </w:pPr>
            <w:r w:rsidRPr="00E049F2">
              <w:rPr>
                <w:rFonts w:ascii="Arial" w:hAnsi="Arial" w:cs="Arial"/>
              </w:rPr>
              <w:t>1.91</w:t>
            </w:r>
          </w:p>
        </w:tc>
        <w:tc>
          <w:tcPr>
            <w:tcW w:w="3136" w:type="dxa"/>
          </w:tcPr>
          <w:p w:rsidR="00E049F2" w:rsidRPr="00E049F2" w:rsidRDefault="00E049F2" w:rsidP="00E049F2">
            <w:pPr>
              <w:jc w:val="center"/>
              <w:rPr>
                <w:rFonts w:ascii="Arial" w:hAnsi="Arial" w:cs="Arial"/>
              </w:rPr>
            </w:pPr>
            <w:r w:rsidRPr="00E049F2">
              <w:rPr>
                <w:rFonts w:ascii="Arial" w:hAnsi="Arial" w:cs="Arial"/>
              </w:rPr>
              <w:t>19.45</w:t>
            </w:r>
          </w:p>
        </w:tc>
      </w:tr>
    </w:tbl>
    <w:p w:rsidR="0018536E" w:rsidRDefault="0018536E" w:rsidP="0018536E">
      <w:pPr>
        <w:spacing w:after="0"/>
        <w:ind w:left="360"/>
        <w:jc w:val="both"/>
        <w:rPr>
          <w:rFonts w:ascii="Arial" w:hAnsi="Arial" w:cs="Arial"/>
        </w:rPr>
      </w:pPr>
    </w:p>
    <w:p w:rsidR="004E0BB6" w:rsidRDefault="00145BA6" w:rsidP="00BA41A8">
      <w:pPr>
        <w:pStyle w:val="ListParagraph"/>
        <w:numPr>
          <w:ilvl w:val="0"/>
          <w:numId w:val="1"/>
        </w:numPr>
        <w:spacing w:after="0"/>
        <w:jc w:val="both"/>
        <w:rPr>
          <w:rFonts w:ascii="Arial" w:hAnsi="Arial" w:cs="Arial"/>
        </w:rPr>
      </w:pPr>
      <w:r>
        <w:rPr>
          <w:rFonts w:ascii="Arial" w:hAnsi="Arial" w:cs="Arial"/>
        </w:rPr>
        <w:t>The bookmaker has provided comparative prices for other players in the same team and in the same match as the team and match in question.  The maximum prices for other players in a similar playing position were as follow</w:t>
      </w:r>
      <w:r w:rsidR="00F23D03">
        <w:rPr>
          <w:rFonts w:ascii="Arial" w:hAnsi="Arial" w:cs="Arial"/>
        </w:rPr>
        <w:t>s</w:t>
      </w:r>
      <w:r>
        <w:rPr>
          <w:rFonts w:ascii="Arial" w:hAnsi="Arial" w:cs="Arial"/>
        </w:rPr>
        <w:t>:</w:t>
      </w:r>
    </w:p>
    <w:p w:rsidR="00145BA6" w:rsidRDefault="00145BA6" w:rsidP="00145BA6">
      <w:pPr>
        <w:spacing w:after="0"/>
        <w:jc w:val="both"/>
        <w:rPr>
          <w:rFonts w:ascii="Arial" w:hAnsi="Arial" w:cs="Arial"/>
        </w:rPr>
      </w:pPr>
    </w:p>
    <w:tbl>
      <w:tblPr>
        <w:tblStyle w:val="TableGrid"/>
        <w:tblW w:w="0" w:type="auto"/>
        <w:tblInd w:w="720" w:type="dxa"/>
        <w:tblLook w:val="04A0" w:firstRow="1" w:lastRow="0" w:firstColumn="1" w:lastColumn="0" w:noHBand="0" w:noVBand="1"/>
      </w:tblPr>
      <w:tblGrid>
        <w:gridCol w:w="2809"/>
        <w:gridCol w:w="3773"/>
        <w:gridCol w:w="1880"/>
      </w:tblGrid>
      <w:tr w:rsidR="00866527" w:rsidRPr="00866527" w:rsidTr="00866527">
        <w:tc>
          <w:tcPr>
            <w:tcW w:w="2879" w:type="dxa"/>
            <w:shd w:val="clear" w:color="auto" w:fill="000000" w:themeFill="text1"/>
          </w:tcPr>
          <w:p w:rsidR="00145BA6" w:rsidRPr="00866527" w:rsidRDefault="00145BA6" w:rsidP="00C737F1">
            <w:pPr>
              <w:jc w:val="center"/>
              <w:rPr>
                <w:rFonts w:ascii="Arial" w:hAnsi="Arial" w:cs="Arial"/>
                <w:b/>
                <w:color w:val="FFFFFF" w:themeColor="background1"/>
              </w:rPr>
            </w:pPr>
            <w:r w:rsidRPr="00866527">
              <w:rPr>
                <w:rFonts w:ascii="Arial" w:hAnsi="Arial" w:cs="Arial"/>
                <w:b/>
                <w:color w:val="FFFFFF" w:themeColor="background1"/>
              </w:rPr>
              <w:t>Name</w:t>
            </w:r>
          </w:p>
        </w:tc>
        <w:tc>
          <w:tcPr>
            <w:tcW w:w="3880" w:type="dxa"/>
            <w:shd w:val="clear" w:color="auto" w:fill="000000" w:themeFill="text1"/>
          </w:tcPr>
          <w:p w:rsidR="00145BA6" w:rsidRPr="00866527" w:rsidRDefault="00145BA6" w:rsidP="00C737F1">
            <w:pPr>
              <w:jc w:val="center"/>
              <w:rPr>
                <w:rFonts w:ascii="Arial" w:hAnsi="Arial" w:cs="Arial"/>
                <w:b/>
                <w:color w:val="FFFFFF" w:themeColor="background1"/>
              </w:rPr>
            </w:pPr>
            <w:r w:rsidRPr="00866527">
              <w:rPr>
                <w:rFonts w:ascii="Arial" w:hAnsi="Arial" w:cs="Arial"/>
                <w:b/>
                <w:color w:val="FFFFFF" w:themeColor="background1"/>
              </w:rPr>
              <w:t>Maximum pass completed option</w:t>
            </w:r>
          </w:p>
        </w:tc>
        <w:tc>
          <w:tcPr>
            <w:tcW w:w="1929" w:type="dxa"/>
            <w:shd w:val="clear" w:color="auto" w:fill="000000" w:themeFill="text1"/>
          </w:tcPr>
          <w:p w:rsidR="00145BA6" w:rsidRPr="00866527" w:rsidRDefault="00145BA6" w:rsidP="00C737F1">
            <w:pPr>
              <w:jc w:val="center"/>
              <w:rPr>
                <w:rFonts w:ascii="Arial" w:hAnsi="Arial" w:cs="Arial"/>
                <w:b/>
                <w:color w:val="FFFFFF" w:themeColor="background1"/>
              </w:rPr>
            </w:pPr>
            <w:r w:rsidRPr="00866527">
              <w:rPr>
                <w:rFonts w:ascii="Arial" w:hAnsi="Arial" w:cs="Arial"/>
                <w:b/>
                <w:color w:val="FFFFFF" w:themeColor="background1"/>
              </w:rPr>
              <w:t>Price</w:t>
            </w:r>
          </w:p>
        </w:tc>
      </w:tr>
      <w:tr w:rsidR="00145BA6" w:rsidTr="00145BA6">
        <w:tc>
          <w:tcPr>
            <w:tcW w:w="2879" w:type="dxa"/>
          </w:tcPr>
          <w:p w:rsidR="00145BA6" w:rsidRPr="00E049F2" w:rsidRDefault="00145BA6" w:rsidP="00C737F1">
            <w:pPr>
              <w:jc w:val="center"/>
              <w:rPr>
                <w:rFonts w:ascii="Arial" w:hAnsi="Arial" w:cs="Arial"/>
              </w:rPr>
            </w:pPr>
            <w:r>
              <w:rPr>
                <w:rFonts w:ascii="Arial" w:hAnsi="Arial" w:cs="Arial"/>
              </w:rPr>
              <w:t>Paul Pogba</w:t>
            </w:r>
          </w:p>
        </w:tc>
        <w:tc>
          <w:tcPr>
            <w:tcW w:w="3880" w:type="dxa"/>
          </w:tcPr>
          <w:p w:rsidR="00145BA6" w:rsidRPr="00E049F2" w:rsidRDefault="00145BA6" w:rsidP="00C737F1">
            <w:pPr>
              <w:jc w:val="center"/>
              <w:rPr>
                <w:rFonts w:ascii="Arial" w:hAnsi="Arial" w:cs="Arial"/>
              </w:rPr>
            </w:pPr>
            <w:r>
              <w:rPr>
                <w:rFonts w:ascii="Arial" w:hAnsi="Arial" w:cs="Arial"/>
              </w:rPr>
              <w:t>100</w:t>
            </w:r>
          </w:p>
        </w:tc>
        <w:tc>
          <w:tcPr>
            <w:tcW w:w="1929" w:type="dxa"/>
          </w:tcPr>
          <w:p w:rsidR="00145BA6" w:rsidRPr="00E049F2" w:rsidRDefault="00145BA6" w:rsidP="00C737F1">
            <w:pPr>
              <w:jc w:val="center"/>
              <w:rPr>
                <w:rFonts w:ascii="Arial" w:hAnsi="Arial" w:cs="Arial"/>
              </w:rPr>
            </w:pPr>
            <w:r>
              <w:rPr>
                <w:rFonts w:ascii="Arial" w:hAnsi="Arial" w:cs="Arial"/>
              </w:rPr>
              <w:t>$5.91</w:t>
            </w:r>
          </w:p>
        </w:tc>
      </w:tr>
      <w:tr w:rsidR="00145BA6" w:rsidTr="00145BA6">
        <w:tc>
          <w:tcPr>
            <w:tcW w:w="2879" w:type="dxa"/>
          </w:tcPr>
          <w:p w:rsidR="00145BA6" w:rsidRPr="00E049F2" w:rsidRDefault="00145BA6" w:rsidP="00C737F1">
            <w:pPr>
              <w:jc w:val="center"/>
              <w:rPr>
                <w:rFonts w:ascii="Arial" w:hAnsi="Arial" w:cs="Arial"/>
              </w:rPr>
            </w:pPr>
            <w:r>
              <w:rPr>
                <w:rFonts w:ascii="Arial" w:hAnsi="Arial" w:cs="Arial"/>
              </w:rPr>
              <w:t>Michael Carrick</w:t>
            </w:r>
          </w:p>
        </w:tc>
        <w:tc>
          <w:tcPr>
            <w:tcW w:w="3880" w:type="dxa"/>
          </w:tcPr>
          <w:p w:rsidR="00145BA6" w:rsidRPr="00E049F2" w:rsidRDefault="00145BA6" w:rsidP="00C737F1">
            <w:pPr>
              <w:jc w:val="center"/>
              <w:rPr>
                <w:rFonts w:ascii="Arial" w:hAnsi="Arial" w:cs="Arial"/>
              </w:rPr>
            </w:pPr>
            <w:r>
              <w:rPr>
                <w:rFonts w:ascii="Arial" w:hAnsi="Arial" w:cs="Arial"/>
              </w:rPr>
              <w:t>85</w:t>
            </w:r>
          </w:p>
        </w:tc>
        <w:tc>
          <w:tcPr>
            <w:tcW w:w="1929" w:type="dxa"/>
          </w:tcPr>
          <w:p w:rsidR="00145BA6" w:rsidRPr="00E049F2" w:rsidRDefault="00145BA6" w:rsidP="00145BA6">
            <w:pPr>
              <w:tabs>
                <w:tab w:val="left" w:pos="630"/>
                <w:tab w:val="center" w:pos="856"/>
              </w:tabs>
              <w:jc w:val="center"/>
              <w:rPr>
                <w:rFonts w:ascii="Arial" w:hAnsi="Arial" w:cs="Arial"/>
              </w:rPr>
            </w:pPr>
            <w:r>
              <w:rPr>
                <w:rFonts w:ascii="Arial" w:hAnsi="Arial" w:cs="Arial"/>
              </w:rPr>
              <w:t>$2.95</w:t>
            </w:r>
          </w:p>
        </w:tc>
      </w:tr>
      <w:tr w:rsidR="00145BA6" w:rsidTr="00145BA6">
        <w:tc>
          <w:tcPr>
            <w:tcW w:w="2879" w:type="dxa"/>
          </w:tcPr>
          <w:p w:rsidR="00145BA6" w:rsidRPr="00E049F2" w:rsidRDefault="00145BA6" w:rsidP="00C737F1">
            <w:pPr>
              <w:jc w:val="center"/>
              <w:rPr>
                <w:rFonts w:ascii="Arial" w:hAnsi="Arial" w:cs="Arial"/>
              </w:rPr>
            </w:pPr>
            <w:r>
              <w:rPr>
                <w:rFonts w:ascii="Arial" w:hAnsi="Arial" w:cs="Arial"/>
              </w:rPr>
              <w:t>Marouane Fellaini</w:t>
            </w:r>
          </w:p>
        </w:tc>
        <w:tc>
          <w:tcPr>
            <w:tcW w:w="3880" w:type="dxa"/>
          </w:tcPr>
          <w:p w:rsidR="00145BA6" w:rsidRPr="00E049F2" w:rsidRDefault="00145BA6" w:rsidP="00C737F1">
            <w:pPr>
              <w:jc w:val="center"/>
              <w:rPr>
                <w:rFonts w:ascii="Arial" w:hAnsi="Arial" w:cs="Arial"/>
              </w:rPr>
            </w:pPr>
            <w:r>
              <w:rPr>
                <w:rFonts w:ascii="Arial" w:hAnsi="Arial" w:cs="Arial"/>
              </w:rPr>
              <w:t>67</w:t>
            </w:r>
          </w:p>
        </w:tc>
        <w:tc>
          <w:tcPr>
            <w:tcW w:w="1929" w:type="dxa"/>
          </w:tcPr>
          <w:p w:rsidR="00145BA6" w:rsidRPr="00E049F2" w:rsidRDefault="00145BA6" w:rsidP="00C737F1">
            <w:pPr>
              <w:jc w:val="center"/>
              <w:rPr>
                <w:rFonts w:ascii="Arial" w:hAnsi="Arial" w:cs="Arial"/>
              </w:rPr>
            </w:pPr>
            <w:r>
              <w:rPr>
                <w:rFonts w:ascii="Arial" w:hAnsi="Arial" w:cs="Arial"/>
              </w:rPr>
              <w:t>$3.26</w:t>
            </w:r>
          </w:p>
        </w:tc>
      </w:tr>
      <w:tr w:rsidR="00145BA6" w:rsidTr="00145BA6">
        <w:tc>
          <w:tcPr>
            <w:tcW w:w="2879" w:type="dxa"/>
          </w:tcPr>
          <w:p w:rsidR="00145BA6" w:rsidRPr="00E049F2" w:rsidRDefault="00145BA6" w:rsidP="00C737F1">
            <w:pPr>
              <w:jc w:val="center"/>
              <w:rPr>
                <w:rFonts w:ascii="Arial" w:hAnsi="Arial" w:cs="Arial"/>
              </w:rPr>
            </w:pPr>
            <w:r>
              <w:rPr>
                <w:rFonts w:ascii="Arial" w:hAnsi="Arial" w:cs="Arial"/>
              </w:rPr>
              <w:t>Ander Herrera</w:t>
            </w:r>
          </w:p>
        </w:tc>
        <w:tc>
          <w:tcPr>
            <w:tcW w:w="3880" w:type="dxa"/>
          </w:tcPr>
          <w:p w:rsidR="00145BA6" w:rsidRPr="00E049F2" w:rsidRDefault="00145BA6" w:rsidP="00C737F1">
            <w:pPr>
              <w:jc w:val="center"/>
              <w:rPr>
                <w:rFonts w:ascii="Arial" w:hAnsi="Arial" w:cs="Arial"/>
              </w:rPr>
            </w:pPr>
            <w:r>
              <w:rPr>
                <w:rFonts w:ascii="Arial" w:hAnsi="Arial" w:cs="Arial"/>
              </w:rPr>
              <w:t>85</w:t>
            </w:r>
          </w:p>
        </w:tc>
        <w:tc>
          <w:tcPr>
            <w:tcW w:w="1929" w:type="dxa"/>
          </w:tcPr>
          <w:p w:rsidR="00145BA6" w:rsidRPr="00E049F2" w:rsidRDefault="00145BA6" w:rsidP="00C737F1">
            <w:pPr>
              <w:jc w:val="center"/>
              <w:rPr>
                <w:rFonts w:ascii="Arial" w:hAnsi="Arial" w:cs="Arial"/>
              </w:rPr>
            </w:pPr>
            <w:r>
              <w:rPr>
                <w:rFonts w:ascii="Arial" w:hAnsi="Arial" w:cs="Arial"/>
              </w:rPr>
              <w:t>$2.96</w:t>
            </w:r>
          </w:p>
        </w:tc>
      </w:tr>
    </w:tbl>
    <w:p w:rsidR="00145BA6" w:rsidRDefault="00145BA6" w:rsidP="00145BA6">
      <w:pPr>
        <w:spacing w:after="0"/>
        <w:jc w:val="both"/>
        <w:rPr>
          <w:rFonts w:ascii="Arial" w:hAnsi="Arial" w:cs="Arial"/>
        </w:rPr>
      </w:pPr>
    </w:p>
    <w:p w:rsidR="00145BA6" w:rsidRPr="00145BA6" w:rsidRDefault="00145BA6" w:rsidP="00145BA6">
      <w:pPr>
        <w:spacing w:after="0"/>
        <w:jc w:val="both"/>
        <w:rPr>
          <w:rFonts w:ascii="Arial" w:hAnsi="Arial" w:cs="Arial"/>
        </w:rPr>
      </w:pPr>
    </w:p>
    <w:p w:rsidR="008151F8" w:rsidRDefault="00145BA6" w:rsidP="00BA41A8">
      <w:pPr>
        <w:pStyle w:val="ListParagraph"/>
        <w:numPr>
          <w:ilvl w:val="0"/>
          <w:numId w:val="1"/>
        </w:numPr>
        <w:spacing w:after="0"/>
        <w:jc w:val="both"/>
        <w:rPr>
          <w:rFonts w:ascii="Arial" w:hAnsi="Arial" w:cs="Arial"/>
        </w:rPr>
      </w:pPr>
      <w:r>
        <w:rPr>
          <w:rFonts w:ascii="Arial" w:hAnsi="Arial" w:cs="Arial"/>
        </w:rPr>
        <w:t xml:space="preserve">However it is important to note that the forgoing </w:t>
      </w:r>
      <w:r w:rsidR="008479D5">
        <w:rPr>
          <w:rFonts w:ascii="Arial" w:hAnsi="Arial" w:cs="Arial"/>
        </w:rPr>
        <w:t>comparisons</w:t>
      </w:r>
      <w:r>
        <w:rPr>
          <w:rFonts w:ascii="Arial" w:hAnsi="Arial" w:cs="Arial"/>
        </w:rPr>
        <w:t xml:space="preserve"> </w:t>
      </w:r>
      <w:r w:rsidR="008479D5">
        <w:rPr>
          <w:rFonts w:ascii="Arial" w:hAnsi="Arial" w:cs="Arial"/>
        </w:rPr>
        <w:t>are those</w:t>
      </w:r>
      <w:r>
        <w:rPr>
          <w:rFonts w:ascii="Arial" w:hAnsi="Arial" w:cs="Arial"/>
        </w:rPr>
        <w:t xml:space="preserve"> supplied by the bookmaker and have not been ratified by comparing odds for similar markets framed by other bookmakers fielding on the match</w:t>
      </w:r>
      <w:r w:rsidR="008479D5">
        <w:rPr>
          <w:rFonts w:ascii="Arial" w:hAnsi="Arial" w:cs="Arial"/>
        </w:rPr>
        <w:t>.</w:t>
      </w:r>
    </w:p>
    <w:p w:rsidR="00D032B5" w:rsidRPr="00D032B5" w:rsidRDefault="00D032B5" w:rsidP="00973180">
      <w:pPr>
        <w:spacing w:after="0" w:line="360" w:lineRule="auto"/>
        <w:ind w:left="357"/>
        <w:jc w:val="both"/>
        <w:rPr>
          <w:rFonts w:ascii="Arial" w:hAnsi="Arial" w:cs="Arial"/>
        </w:rPr>
      </w:pPr>
    </w:p>
    <w:p w:rsidR="00655CF4" w:rsidRDefault="004B5871" w:rsidP="00BA41A8">
      <w:pPr>
        <w:pStyle w:val="ListParagraph"/>
        <w:numPr>
          <w:ilvl w:val="0"/>
          <w:numId w:val="1"/>
        </w:numPr>
        <w:spacing w:after="0"/>
        <w:jc w:val="both"/>
        <w:rPr>
          <w:rFonts w:ascii="Arial" w:hAnsi="Arial" w:cs="Arial"/>
        </w:rPr>
      </w:pPr>
      <w:r>
        <w:rPr>
          <w:rFonts w:ascii="Arial" w:hAnsi="Arial" w:cs="Arial"/>
        </w:rPr>
        <w:t xml:space="preserve">In fact, on 1 August 2017, the Commission requested provision of any such external comparative odds, but Ladbrokes were unable to </w:t>
      </w:r>
      <w:r w:rsidRPr="00866527">
        <w:rPr>
          <w:rFonts w:ascii="Arial" w:hAnsi="Arial" w:cs="Arial"/>
        </w:rPr>
        <w:t xml:space="preserve">supply </w:t>
      </w:r>
      <w:r w:rsidR="00866527" w:rsidRPr="00866527">
        <w:rPr>
          <w:rFonts w:ascii="Arial" w:hAnsi="Arial" w:cs="Arial"/>
        </w:rPr>
        <w:t xml:space="preserve">the </w:t>
      </w:r>
      <w:r w:rsidRPr="00866527">
        <w:rPr>
          <w:rFonts w:ascii="Arial" w:hAnsi="Arial" w:cs="Arial"/>
        </w:rPr>
        <w:t>same</w:t>
      </w:r>
      <w:r>
        <w:rPr>
          <w:rFonts w:ascii="Arial" w:hAnsi="Arial" w:cs="Arial"/>
        </w:rPr>
        <w:t>.</w:t>
      </w:r>
    </w:p>
    <w:p w:rsidR="00B712A8" w:rsidRPr="00B712A8" w:rsidRDefault="00B712A8" w:rsidP="000C16FE">
      <w:pPr>
        <w:spacing w:after="0"/>
        <w:ind w:left="340"/>
        <w:jc w:val="both"/>
        <w:rPr>
          <w:rFonts w:ascii="Arial" w:hAnsi="Arial" w:cs="Arial"/>
        </w:rPr>
      </w:pPr>
    </w:p>
    <w:p w:rsidR="00FD1B8F" w:rsidRDefault="0090166C" w:rsidP="00BA41A8">
      <w:pPr>
        <w:pStyle w:val="ListParagraph"/>
        <w:numPr>
          <w:ilvl w:val="0"/>
          <w:numId w:val="1"/>
        </w:numPr>
        <w:spacing w:after="0"/>
        <w:jc w:val="both"/>
        <w:rPr>
          <w:rFonts w:ascii="Arial" w:hAnsi="Arial" w:cs="Arial"/>
        </w:rPr>
      </w:pPr>
      <w:r>
        <w:rPr>
          <w:rFonts w:ascii="Arial" w:hAnsi="Arial" w:cs="Arial"/>
        </w:rPr>
        <w:t xml:space="preserve">As the Commission is aware, as part of all sports </w:t>
      </w:r>
      <w:r w:rsidR="00303598">
        <w:rPr>
          <w:rFonts w:ascii="Arial" w:hAnsi="Arial" w:cs="Arial"/>
        </w:rPr>
        <w:t>bookmaker’s</w:t>
      </w:r>
      <w:r>
        <w:rPr>
          <w:rFonts w:ascii="Arial" w:hAnsi="Arial" w:cs="Arial"/>
        </w:rPr>
        <w:t xml:space="preserve"> operative systems there are mechanisms in place which automatically change the odds on offer, depending on the current risk liability to the bookmaker.</w:t>
      </w:r>
    </w:p>
    <w:p w:rsidR="00973180" w:rsidRPr="005074F4" w:rsidRDefault="00973180" w:rsidP="005074F4">
      <w:pPr>
        <w:pStyle w:val="ListParagraph"/>
        <w:spacing w:after="0"/>
        <w:ind w:left="697"/>
        <w:jc w:val="both"/>
        <w:rPr>
          <w:rFonts w:ascii="Arial" w:hAnsi="Arial" w:cs="Arial"/>
        </w:rPr>
      </w:pPr>
    </w:p>
    <w:p w:rsidR="00C157E2" w:rsidRDefault="0039668E" w:rsidP="00BA41A8">
      <w:pPr>
        <w:pStyle w:val="ListParagraph"/>
        <w:numPr>
          <w:ilvl w:val="0"/>
          <w:numId w:val="1"/>
        </w:numPr>
        <w:spacing w:after="0"/>
        <w:jc w:val="both"/>
        <w:rPr>
          <w:rFonts w:ascii="Arial" w:hAnsi="Arial" w:cs="Arial"/>
        </w:rPr>
      </w:pPr>
      <w:r>
        <w:rPr>
          <w:rFonts w:ascii="Arial" w:hAnsi="Arial" w:cs="Arial"/>
        </w:rPr>
        <w:t>It then follows that a team</w:t>
      </w:r>
      <w:r w:rsidR="00F86276">
        <w:rPr>
          <w:rFonts w:ascii="Arial" w:hAnsi="Arial" w:cs="Arial"/>
        </w:rPr>
        <w:t>’</w:t>
      </w:r>
      <w:r>
        <w:rPr>
          <w:rFonts w:ascii="Arial" w:hAnsi="Arial" w:cs="Arial"/>
        </w:rPr>
        <w:t>s or individual</w:t>
      </w:r>
      <w:r w:rsidR="00F86276">
        <w:rPr>
          <w:rFonts w:ascii="Arial" w:hAnsi="Arial" w:cs="Arial"/>
        </w:rPr>
        <w:t>’</w:t>
      </w:r>
      <w:r>
        <w:rPr>
          <w:rFonts w:ascii="Arial" w:hAnsi="Arial" w:cs="Arial"/>
        </w:rPr>
        <w:t>s price can firm of drift automatically, depending on this risk liability.</w:t>
      </w:r>
    </w:p>
    <w:p w:rsidR="00956836" w:rsidRDefault="00956836" w:rsidP="00956836">
      <w:pPr>
        <w:spacing w:after="0"/>
        <w:jc w:val="both"/>
        <w:rPr>
          <w:rFonts w:ascii="Arial" w:hAnsi="Arial" w:cs="Arial"/>
        </w:rPr>
      </w:pPr>
    </w:p>
    <w:p w:rsidR="004310B9" w:rsidRDefault="00887C22" w:rsidP="00BA41A8">
      <w:pPr>
        <w:pStyle w:val="ListParagraph"/>
        <w:numPr>
          <w:ilvl w:val="0"/>
          <w:numId w:val="1"/>
        </w:numPr>
        <w:spacing w:after="0"/>
        <w:jc w:val="both"/>
        <w:rPr>
          <w:rFonts w:ascii="Arial" w:hAnsi="Arial" w:cs="Arial"/>
        </w:rPr>
      </w:pPr>
      <w:r>
        <w:rPr>
          <w:rFonts w:ascii="Arial" w:hAnsi="Arial" w:cs="Arial"/>
        </w:rPr>
        <w:t xml:space="preserve">In this instance the bookmaker is claiming that the odds on offer to Mr </w:t>
      </w:r>
      <w:r w:rsidR="007F3330">
        <w:rPr>
          <w:rFonts w:ascii="Arial" w:hAnsi="Arial" w:cs="Arial"/>
        </w:rPr>
        <w:t>O</w:t>
      </w:r>
      <w:r>
        <w:rPr>
          <w:rFonts w:ascii="Arial" w:hAnsi="Arial" w:cs="Arial"/>
        </w:rPr>
        <w:t xml:space="preserve"> on various multi bet wagers were obviously in error and is claiming relief under Rules 4.2, 13.1 and 14.1 of their Terms and Conditions.</w:t>
      </w:r>
    </w:p>
    <w:p w:rsidR="00485982" w:rsidRPr="00485982" w:rsidRDefault="00485982" w:rsidP="00485982">
      <w:pPr>
        <w:spacing w:after="0"/>
        <w:ind w:left="360"/>
        <w:jc w:val="both"/>
        <w:rPr>
          <w:rFonts w:ascii="Arial" w:hAnsi="Arial" w:cs="Arial"/>
        </w:rPr>
      </w:pPr>
    </w:p>
    <w:p w:rsidR="00916BF0" w:rsidRDefault="009A03A0" w:rsidP="00BA41A8">
      <w:pPr>
        <w:pStyle w:val="ListParagraph"/>
        <w:numPr>
          <w:ilvl w:val="0"/>
          <w:numId w:val="1"/>
        </w:numPr>
        <w:spacing w:after="0"/>
        <w:jc w:val="both"/>
        <w:rPr>
          <w:rFonts w:ascii="Arial" w:hAnsi="Arial" w:cs="Arial"/>
        </w:rPr>
      </w:pPr>
      <w:r>
        <w:rPr>
          <w:rFonts w:ascii="Arial" w:hAnsi="Arial" w:cs="Arial"/>
        </w:rPr>
        <w:t>It is a requirement of each sports bookmaker’s licence that they promulgate a set of detailed Terms and Conditions which both parties are then held to when an account is opened and each time a wager is struck.</w:t>
      </w:r>
    </w:p>
    <w:p w:rsidR="00485982" w:rsidRPr="00485982" w:rsidRDefault="00485982" w:rsidP="00485982">
      <w:pPr>
        <w:spacing w:after="0"/>
        <w:ind w:left="360"/>
        <w:jc w:val="both"/>
        <w:rPr>
          <w:rFonts w:ascii="Arial" w:hAnsi="Arial" w:cs="Arial"/>
        </w:rPr>
      </w:pPr>
    </w:p>
    <w:p w:rsidR="00485982" w:rsidRDefault="009A03A0" w:rsidP="00BA41A8">
      <w:pPr>
        <w:pStyle w:val="ListParagraph"/>
        <w:numPr>
          <w:ilvl w:val="0"/>
          <w:numId w:val="1"/>
        </w:numPr>
        <w:spacing w:after="0"/>
        <w:jc w:val="both"/>
        <w:rPr>
          <w:rFonts w:ascii="Arial" w:hAnsi="Arial" w:cs="Arial"/>
        </w:rPr>
      </w:pPr>
      <w:r>
        <w:rPr>
          <w:rFonts w:ascii="Arial" w:hAnsi="Arial" w:cs="Arial"/>
        </w:rPr>
        <w:t xml:space="preserve">By opening the account, the client has agreed to be bound by the Terms and Conditions as particularised on the </w:t>
      </w:r>
      <w:r w:rsidR="00B53A08">
        <w:rPr>
          <w:rFonts w:ascii="Arial" w:hAnsi="Arial" w:cs="Arial"/>
        </w:rPr>
        <w:t>bookmaker’s</w:t>
      </w:r>
      <w:r>
        <w:rPr>
          <w:rFonts w:ascii="Arial" w:hAnsi="Arial" w:cs="Arial"/>
        </w:rPr>
        <w:t xml:space="preserve"> website.  In dealing with this matter, the bookmaker has relied upon the following </w:t>
      </w:r>
      <w:r w:rsidR="00B53A08">
        <w:rPr>
          <w:rFonts w:ascii="Arial" w:hAnsi="Arial" w:cs="Arial"/>
        </w:rPr>
        <w:t>sections</w:t>
      </w:r>
      <w:r>
        <w:rPr>
          <w:rFonts w:ascii="Arial" w:hAnsi="Arial" w:cs="Arial"/>
        </w:rPr>
        <w:t xml:space="preserve"> of the Ladbrokes General Rules of Betting</w:t>
      </w:r>
      <w:r w:rsidR="00066D3A">
        <w:rPr>
          <w:rFonts w:ascii="Arial" w:hAnsi="Arial" w:cs="Arial"/>
        </w:rPr>
        <w:t>:</w:t>
      </w:r>
    </w:p>
    <w:p w:rsidR="00866527" w:rsidRDefault="00866527" w:rsidP="00066D3A">
      <w:pPr>
        <w:spacing w:after="0"/>
        <w:ind w:left="1440"/>
        <w:jc w:val="both"/>
        <w:rPr>
          <w:rFonts w:ascii="Arial" w:hAnsi="Arial" w:cs="Arial"/>
          <w:i/>
        </w:rPr>
      </w:pPr>
    </w:p>
    <w:p w:rsidR="00066D3A" w:rsidRDefault="00066D3A" w:rsidP="00066D3A">
      <w:pPr>
        <w:spacing w:after="0"/>
        <w:ind w:left="1440"/>
        <w:jc w:val="both"/>
        <w:rPr>
          <w:rFonts w:ascii="Arial" w:hAnsi="Arial" w:cs="Arial"/>
          <w:i/>
        </w:rPr>
      </w:pPr>
      <w:r w:rsidRPr="00066D3A">
        <w:rPr>
          <w:rFonts w:ascii="Arial" w:hAnsi="Arial" w:cs="Arial"/>
          <w:i/>
        </w:rPr>
        <w:t>4.2 In the event that a line or price is put up in obvious error due to human error by an employee, any customer wagers entered to take advantage of such error will be void.</w:t>
      </w:r>
    </w:p>
    <w:p w:rsidR="00066D3A" w:rsidRDefault="00066D3A" w:rsidP="00066D3A">
      <w:pPr>
        <w:spacing w:after="0"/>
        <w:ind w:left="709"/>
        <w:jc w:val="both"/>
        <w:rPr>
          <w:rFonts w:ascii="Arial" w:hAnsi="Arial" w:cs="Arial"/>
        </w:rPr>
      </w:pPr>
      <w:r>
        <w:rPr>
          <w:rFonts w:ascii="Arial" w:hAnsi="Arial" w:cs="Arial"/>
        </w:rPr>
        <w:lastRenderedPageBreak/>
        <w:t>Furthermore, Ladbrokes Terms of Use state:</w:t>
      </w:r>
    </w:p>
    <w:p w:rsidR="00066D3A" w:rsidRDefault="00066D3A" w:rsidP="00066D3A">
      <w:pPr>
        <w:spacing w:after="0"/>
        <w:ind w:left="709"/>
        <w:jc w:val="both"/>
        <w:rPr>
          <w:rFonts w:ascii="Arial" w:hAnsi="Arial" w:cs="Arial"/>
        </w:rPr>
      </w:pPr>
    </w:p>
    <w:p w:rsidR="00066D3A" w:rsidRPr="00066D3A" w:rsidRDefault="00066D3A" w:rsidP="00066D3A">
      <w:pPr>
        <w:tabs>
          <w:tab w:val="left" w:pos="1418"/>
        </w:tabs>
        <w:spacing w:after="0"/>
        <w:ind w:left="1418" w:hanging="567"/>
        <w:jc w:val="both"/>
        <w:rPr>
          <w:rFonts w:ascii="Arial" w:hAnsi="Arial" w:cs="Arial"/>
          <w:i/>
        </w:rPr>
      </w:pPr>
      <w:r>
        <w:rPr>
          <w:rFonts w:ascii="Arial" w:hAnsi="Arial" w:cs="Arial"/>
        </w:rPr>
        <w:tab/>
      </w:r>
      <w:r>
        <w:rPr>
          <w:rFonts w:ascii="Arial" w:hAnsi="Arial" w:cs="Arial"/>
        </w:rPr>
        <w:tab/>
      </w:r>
      <w:r>
        <w:rPr>
          <w:rFonts w:ascii="Arial" w:hAnsi="Arial" w:cs="Arial"/>
          <w:i/>
        </w:rPr>
        <w:t>13.1 Where, in respect of any of our betting products or an event within a betting product, we make an error (</w:t>
      </w:r>
      <w:r w:rsidR="004127BE">
        <w:rPr>
          <w:rFonts w:ascii="Arial" w:hAnsi="Arial" w:cs="Arial"/>
          <w:i/>
        </w:rPr>
        <w:t>w</w:t>
      </w:r>
      <w:r>
        <w:rPr>
          <w:rFonts w:ascii="Arial" w:hAnsi="Arial" w:cs="Arial"/>
          <w:i/>
        </w:rPr>
        <w:t>hether human or otherwise), we will be entitled to declare the transaction void and withhold any payments.  If we wrongly pay an amount to you or we pay you more than the amount to which you are properly entitled, you agree to repay us immediately upon request from us the amount which has been wrongly paid or overpaid to you. You also give us permission to adjust your Account (or make a withdrawal from another Account you have with us) to reflect the true outcome and rectify the error. An example of such an error might be where a price in incorrect, a bet is late, a failure occurs in one of our systems or where we enter a result of an event incorrectly.</w:t>
      </w:r>
    </w:p>
    <w:p w:rsidR="00066D3A" w:rsidRDefault="00066D3A" w:rsidP="00066D3A">
      <w:pPr>
        <w:spacing w:after="0"/>
        <w:ind w:left="1440"/>
        <w:jc w:val="both"/>
        <w:rPr>
          <w:rFonts w:ascii="Arial" w:hAnsi="Arial" w:cs="Arial"/>
        </w:rPr>
      </w:pPr>
    </w:p>
    <w:p w:rsidR="00066D3A" w:rsidRDefault="00066D3A" w:rsidP="00066D3A">
      <w:pPr>
        <w:spacing w:after="0"/>
        <w:ind w:left="1440"/>
        <w:jc w:val="both"/>
        <w:rPr>
          <w:rFonts w:ascii="Arial" w:hAnsi="Arial" w:cs="Arial"/>
          <w:i/>
        </w:rPr>
      </w:pPr>
      <w:r w:rsidRPr="00066D3A">
        <w:rPr>
          <w:rFonts w:ascii="Arial" w:hAnsi="Arial" w:cs="Arial"/>
          <w:i/>
        </w:rPr>
        <w:t>14.1</w:t>
      </w:r>
      <w:r>
        <w:rPr>
          <w:rFonts w:ascii="Arial" w:hAnsi="Arial" w:cs="Arial"/>
          <w:i/>
        </w:rPr>
        <w:t xml:space="preserve"> If a bet is accepted in error by us on an event or outcome, the bet will be void and your stake returned.  Examples of this include, but are not limited to, human errors or system problems where a bet is accepted at a price (which includes the odds, handicap provisions and other terms or details of the bet) that is materially different from those available in the general market at the time the bet was made or obviously incorrect given the chance of the event occurring at the time the bet was made.</w:t>
      </w:r>
    </w:p>
    <w:p w:rsidR="008F64CD" w:rsidRDefault="008F64CD" w:rsidP="00066D3A">
      <w:pPr>
        <w:spacing w:after="0"/>
        <w:ind w:left="1440"/>
        <w:jc w:val="both"/>
        <w:rPr>
          <w:rFonts w:ascii="Arial" w:hAnsi="Arial" w:cs="Arial"/>
          <w:i/>
        </w:rPr>
      </w:pPr>
    </w:p>
    <w:p w:rsidR="008F64CD" w:rsidRDefault="008F64CD" w:rsidP="00066D3A">
      <w:pPr>
        <w:spacing w:after="0"/>
        <w:ind w:left="1440"/>
        <w:jc w:val="both"/>
        <w:rPr>
          <w:rFonts w:ascii="Arial" w:hAnsi="Arial" w:cs="Arial"/>
          <w:i/>
        </w:rPr>
      </w:pPr>
    </w:p>
    <w:p w:rsidR="008F64CD" w:rsidRPr="00887C22" w:rsidRDefault="008F64CD" w:rsidP="008F64CD">
      <w:pPr>
        <w:spacing w:after="0" w:line="240" w:lineRule="auto"/>
        <w:rPr>
          <w:rFonts w:ascii="Arial" w:hAnsi="Arial" w:cs="Arial"/>
          <w:b/>
        </w:rPr>
      </w:pPr>
      <w:r w:rsidRPr="00887C22">
        <w:rPr>
          <w:rFonts w:ascii="Arial" w:hAnsi="Arial" w:cs="Arial"/>
          <w:b/>
        </w:rPr>
        <w:t>CONSIDERATION OF THE ISSUES</w:t>
      </w:r>
    </w:p>
    <w:p w:rsidR="008F64CD" w:rsidRPr="00066D3A" w:rsidRDefault="008F64CD" w:rsidP="00066D3A">
      <w:pPr>
        <w:spacing w:after="0"/>
        <w:ind w:left="1440"/>
        <w:jc w:val="both"/>
        <w:rPr>
          <w:rFonts w:ascii="Arial" w:hAnsi="Arial" w:cs="Arial"/>
          <w:i/>
        </w:rPr>
      </w:pPr>
    </w:p>
    <w:p w:rsidR="001A1780" w:rsidRDefault="008F64CD" w:rsidP="00BA41A8">
      <w:pPr>
        <w:pStyle w:val="ListParagraph"/>
        <w:numPr>
          <w:ilvl w:val="0"/>
          <w:numId w:val="1"/>
        </w:numPr>
        <w:spacing w:after="0"/>
        <w:jc w:val="both"/>
        <w:rPr>
          <w:rFonts w:ascii="Arial" w:hAnsi="Arial" w:cs="Arial"/>
        </w:rPr>
      </w:pPr>
      <w:r>
        <w:rPr>
          <w:rFonts w:ascii="Arial" w:hAnsi="Arial" w:cs="Arial"/>
        </w:rPr>
        <w:t xml:space="preserve">In this complaint Mr </w:t>
      </w:r>
      <w:r w:rsidR="007F3330">
        <w:rPr>
          <w:rFonts w:ascii="Arial" w:hAnsi="Arial" w:cs="Arial"/>
        </w:rPr>
        <w:t>O</w:t>
      </w:r>
      <w:r>
        <w:rPr>
          <w:rFonts w:ascii="Arial" w:hAnsi="Arial" w:cs="Arial"/>
        </w:rPr>
        <w:t xml:space="preserve"> provided a coherent and detailed account of his rationale behind his decision to place the disputed multi bets. An abbreviated transcript of which follows.</w:t>
      </w:r>
    </w:p>
    <w:p w:rsidR="001A1780" w:rsidRPr="001A1780" w:rsidRDefault="001A1780" w:rsidP="001A1780">
      <w:pPr>
        <w:spacing w:after="0"/>
        <w:ind w:left="360"/>
        <w:jc w:val="both"/>
        <w:rPr>
          <w:rFonts w:ascii="Arial" w:hAnsi="Arial" w:cs="Arial"/>
        </w:rPr>
      </w:pPr>
    </w:p>
    <w:p w:rsidR="00143A52" w:rsidRPr="00E452E0" w:rsidRDefault="005F31F9" w:rsidP="00BA41A8">
      <w:pPr>
        <w:pStyle w:val="ListParagraph"/>
        <w:numPr>
          <w:ilvl w:val="0"/>
          <w:numId w:val="1"/>
        </w:numPr>
        <w:spacing w:after="0"/>
        <w:jc w:val="both"/>
        <w:rPr>
          <w:rFonts w:ascii="Arial" w:hAnsi="Arial" w:cs="Arial"/>
        </w:rPr>
      </w:pPr>
      <w:r>
        <w:rPr>
          <w:rFonts w:ascii="Arial" w:hAnsi="Arial" w:cs="Arial"/>
        </w:rPr>
        <w:t>“On Sunday night 21 May 2017, I placed some multi bets on the last round of the EPL across various matches.  Some of these bets won and on Monday morning I had a balance with Ladbrokes of approximately $52,000, which I was ecstatic with. Ladbrokes then</w:t>
      </w:r>
      <w:r w:rsidR="0045255B">
        <w:rPr>
          <w:rFonts w:ascii="Arial" w:hAnsi="Arial" w:cs="Arial"/>
        </w:rPr>
        <w:t xml:space="preserve"> cancelled the bets saying there was a pricing error, but outlined no reason why the price was incorrect to justify cancelling the bet”.</w:t>
      </w:r>
    </w:p>
    <w:p w:rsidR="00143A52" w:rsidRPr="00143A52" w:rsidRDefault="00143A52" w:rsidP="00143A52">
      <w:pPr>
        <w:spacing w:after="0"/>
        <w:ind w:left="360"/>
        <w:jc w:val="both"/>
        <w:rPr>
          <w:rFonts w:ascii="Arial" w:hAnsi="Arial" w:cs="Arial"/>
        </w:rPr>
      </w:pPr>
    </w:p>
    <w:p w:rsidR="008E2A9A" w:rsidRDefault="0045255B" w:rsidP="00BA41A8">
      <w:pPr>
        <w:pStyle w:val="ListParagraph"/>
        <w:numPr>
          <w:ilvl w:val="0"/>
          <w:numId w:val="1"/>
        </w:numPr>
        <w:spacing w:after="0"/>
        <w:jc w:val="both"/>
        <w:rPr>
          <w:rFonts w:ascii="Arial" w:hAnsi="Arial" w:cs="Arial"/>
        </w:rPr>
      </w:pPr>
      <w:r>
        <w:rPr>
          <w:rFonts w:ascii="Arial" w:hAnsi="Arial" w:cs="Arial"/>
        </w:rPr>
        <w:t xml:space="preserve">“I backed numerous player stats based markets in multis on the last day of the </w:t>
      </w:r>
      <w:r w:rsidR="00C768E4">
        <w:rPr>
          <w:rFonts w:ascii="Arial" w:hAnsi="Arial" w:cs="Arial"/>
        </w:rPr>
        <w:t>E</w:t>
      </w:r>
      <w:r>
        <w:rPr>
          <w:rFonts w:ascii="Arial" w:hAnsi="Arial" w:cs="Arial"/>
        </w:rPr>
        <w:t>PL.  I used McTominay as the banker leg in these multis as I thought his price was the best value.  Ladbrokes has him at 3.3 for 30 or more possessions and at bigger prices for higher levels like 40+ and 45+”.</w:t>
      </w:r>
    </w:p>
    <w:p w:rsidR="00E621CB" w:rsidRDefault="00E621CB" w:rsidP="00E621CB">
      <w:pPr>
        <w:spacing w:after="0"/>
        <w:ind w:left="360"/>
        <w:jc w:val="both"/>
        <w:rPr>
          <w:rFonts w:ascii="Arial" w:hAnsi="Arial" w:cs="Arial"/>
        </w:rPr>
      </w:pPr>
    </w:p>
    <w:p w:rsidR="00F34838" w:rsidRDefault="00AE7BEE" w:rsidP="00BA41A8">
      <w:pPr>
        <w:pStyle w:val="ListParagraph"/>
        <w:numPr>
          <w:ilvl w:val="0"/>
          <w:numId w:val="1"/>
        </w:numPr>
        <w:spacing w:after="0"/>
        <w:jc w:val="both"/>
        <w:rPr>
          <w:rFonts w:ascii="Arial" w:hAnsi="Arial" w:cs="Arial"/>
        </w:rPr>
      </w:pPr>
      <w:r>
        <w:rPr>
          <w:rFonts w:ascii="Arial" w:hAnsi="Arial" w:cs="Arial"/>
        </w:rPr>
        <w:t xml:space="preserve">“McTominay is a young kid who was on debut for Man United, who were at home to </w:t>
      </w:r>
      <w:r w:rsidR="00F50DA7">
        <w:rPr>
          <w:rFonts w:ascii="Arial" w:hAnsi="Arial" w:cs="Arial"/>
        </w:rPr>
        <w:t>Crystal</w:t>
      </w:r>
      <w:r>
        <w:rPr>
          <w:rFonts w:ascii="Arial" w:hAnsi="Arial" w:cs="Arial"/>
        </w:rPr>
        <w:t xml:space="preserve"> Palace.  The main reason I liked the bet is because he wouldn’t have been </w:t>
      </w:r>
      <w:r w:rsidR="00F50DA7">
        <w:rPr>
          <w:rFonts w:ascii="Arial" w:hAnsi="Arial" w:cs="Arial"/>
        </w:rPr>
        <w:t>expected</w:t>
      </w:r>
      <w:r>
        <w:rPr>
          <w:rFonts w:ascii="Arial" w:hAnsi="Arial" w:cs="Arial"/>
        </w:rPr>
        <w:t xml:space="preserve"> to </w:t>
      </w:r>
      <w:r w:rsidR="00F50DA7">
        <w:rPr>
          <w:rFonts w:ascii="Arial" w:hAnsi="Arial" w:cs="Arial"/>
        </w:rPr>
        <w:t>play</w:t>
      </w:r>
      <w:r>
        <w:rPr>
          <w:rFonts w:ascii="Arial" w:hAnsi="Arial" w:cs="Arial"/>
        </w:rPr>
        <w:t xml:space="preserve"> anywhere near 90 mins under normal circumstances, but Man Uni</w:t>
      </w:r>
      <w:r w:rsidR="00F50DA7">
        <w:rPr>
          <w:rFonts w:ascii="Arial" w:hAnsi="Arial" w:cs="Arial"/>
        </w:rPr>
        <w:t>t</w:t>
      </w:r>
      <w:r>
        <w:rPr>
          <w:rFonts w:ascii="Arial" w:hAnsi="Arial" w:cs="Arial"/>
        </w:rPr>
        <w:t xml:space="preserve">ed were playing in the Europa League final 3 days later, so I took a chance that he </w:t>
      </w:r>
      <w:r w:rsidR="00F50DA7">
        <w:rPr>
          <w:rFonts w:ascii="Arial" w:hAnsi="Arial" w:cs="Arial"/>
        </w:rPr>
        <w:t>would</w:t>
      </w:r>
      <w:r>
        <w:rPr>
          <w:rFonts w:ascii="Arial" w:hAnsi="Arial" w:cs="Arial"/>
        </w:rPr>
        <w:t xml:space="preserve"> play more minutes than expected as there was </w:t>
      </w:r>
      <w:r w:rsidR="00F50DA7">
        <w:rPr>
          <w:rFonts w:ascii="Arial" w:hAnsi="Arial" w:cs="Arial"/>
        </w:rPr>
        <w:t>definitely</w:t>
      </w:r>
      <w:r>
        <w:rPr>
          <w:rFonts w:ascii="Arial" w:hAnsi="Arial" w:cs="Arial"/>
        </w:rPr>
        <w:t xml:space="preserve"> a chance the star players like P</w:t>
      </w:r>
      <w:r w:rsidR="00F50DA7">
        <w:rPr>
          <w:rFonts w:ascii="Arial" w:hAnsi="Arial" w:cs="Arial"/>
        </w:rPr>
        <w:t>o</w:t>
      </w:r>
      <w:r>
        <w:rPr>
          <w:rFonts w:ascii="Arial" w:hAnsi="Arial" w:cs="Arial"/>
        </w:rPr>
        <w:t xml:space="preserve">gba, Rooney etc wouldn’t play as many minutes as </w:t>
      </w:r>
      <w:r w:rsidR="00F50DA7">
        <w:rPr>
          <w:rFonts w:ascii="Arial" w:hAnsi="Arial" w:cs="Arial"/>
        </w:rPr>
        <w:t>u</w:t>
      </w:r>
      <w:r>
        <w:rPr>
          <w:rFonts w:ascii="Arial" w:hAnsi="Arial" w:cs="Arial"/>
        </w:rPr>
        <w:t xml:space="preserve">sual.  That turned out to be the case, as </w:t>
      </w:r>
      <w:r w:rsidR="00F50DA7">
        <w:rPr>
          <w:rFonts w:ascii="Arial" w:hAnsi="Arial" w:cs="Arial"/>
        </w:rPr>
        <w:t>Pogba</w:t>
      </w:r>
      <w:r>
        <w:rPr>
          <w:rFonts w:ascii="Arial" w:hAnsi="Arial" w:cs="Arial"/>
        </w:rPr>
        <w:t xml:space="preserve"> and Rooney</w:t>
      </w:r>
      <w:r w:rsidR="00F50DA7">
        <w:rPr>
          <w:rFonts w:ascii="Arial" w:hAnsi="Arial" w:cs="Arial"/>
        </w:rPr>
        <w:t xml:space="preserve"> </w:t>
      </w:r>
      <w:r>
        <w:rPr>
          <w:rFonts w:ascii="Arial" w:hAnsi="Arial" w:cs="Arial"/>
        </w:rPr>
        <w:t xml:space="preserve">were substituted early (Pogba at half time) and </w:t>
      </w:r>
      <w:r w:rsidR="00F50DA7">
        <w:rPr>
          <w:rFonts w:ascii="Arial" w:hAnsi="Arial" w:cs="Arial"/>
        </w:rPr>
        <w:t>McTominay</w:t>
      </w:r>
      <w:r>
        <w:rPr>
          <w:rFonts w:ascii="Arial" w:hAnsi="Arial" w:cs="Arial"/>
        </w:rPr>
        <w:t xml:space="preserve"> played</w:t>
      </w:r>
      <w:r w:rsidR="00F50DA7">
        <w:rPr>
          <w:rFonts w:ascii="Arial" w:hAnsi="Arial" w:cs="Arial"/>
        </w:rPr>
        <w:t xml:space="preserve"> 90 mins.  McTominay only had 13 possessions in the first half when the star players were on the field but had 35 in the 2</w:t>
      </w:r>
      <w:r w:rsidR="00F50DA7" w:rsidRPr="00F50DA7">
        <w:rPr>
          <w:rFonts w:ascii="Arial" w:hAnsi="Arial" w:cs="Arial"/>
          <w:vertAlign w:val="superscript"/>
        </w:rPr>
        <w:t>nd</w:t>
      </w:r>
      <w:r w:rsidR="00F50DA7">
        <w:rPr>
          <w:rFonts w:ascii="Arial" w:hAnsi="Arial" w:cs="Arial"/>
        </w:rPr>
        <w:t xml:space="preserve"> half, when he played in a more central role due to the substitutions.  The other reason I like the bets is United had improved towards the end of the season and were likely to have more possessions at home </w:t>
      </w:r>
      <w:r w:rsidR="00F50DA7">
        <w:rPr>
          <w:rFonts w:ascii="Arial" w:hAnsi="Arial" w:cs="Arial"/>
        </w:rPr>
        <w:lastRenderedPageBreak/>
        <w:t>against the lesser teams than earlier in the season.</w:t>
      </w:r>
      <w:r w:rsidR="00FB66DF">
        <w:rPr>
          <w:rFonts w:ascii="Arial" w:hAnsi="Arial" w:cs="Arial"/>
        </w:rPr>
        <w:t xml:space="preserve"> Also since Sam Allerdyce has taken over</w:t>
      </w:r>
      <w:r w:rsidR="00AB0B7A">
        <w:rPr>
          <w:rFonts w:ascii="Arial" w:hAnsi="Arial" w:cs="Arial"/>
        </w:rPr>
        <w:t xml:space="preserve"> as</w:t>
      </w:r>
      <w:r w:rsidR="00FB66DF">
        <w:rPr>
          <w:rFonts w:ascii="Arial" w:hAnsi="Arial" w:cs="Arial"/>
        </w:rPr>
        <w:t xml:space="preserve"> Crystal Palace manager a couple of months before, Palace ha</w:t>
      </w:r>
      <w:r w:rsidR="00CA7EE5">
        <w:rPr>
          <w:rFonts w:ascii="Arial" w:hAnsi="Arial" w:cs="Arial"/>
        </w:rPr>
        <w:t>d</w:t>
      </w:r>
      <w:r w:rsidR="00FB66DF">
        <w:rPr>
          <w:rFonts w:ascii="Arial" w:hAnsi="Arial" w:cs="Arial"/>
        </w:rPr>
        <w:t xml:space="preserve"> played a very defensive game away from home against the big teams like Liverpool/Man City and United.</w:t>
      </w:r>
      <w:r w:rsidR="005378CD">
        <w:rPr>
          <w:rFonts w:ascii="Arial" w:hAnsi="Arial" w:cs="Arial"/>
        </w:rPr>
        <w:t xml:space="preserve"> I thought that this would lead to United having more possession so all of their players were likely to have a few more possessions that they would in a normal game”.</w:t>
      </w:r>
    </w:p>
    <w:p w:rsidR="00D42326" w:rsidRDefault="00D42326" w:rsidP="00D42326">
      <w:pPr>
        <w:spacing w:after="0"/>
        <w:jc w:val="both"/>
        <w:rPr>
          <w:rFonts w:ascii="Arial" w:hAnsi="Arial" w:cs="Arial"/>
        </w:rPr>
      </w:pPr>
    </w:p>
    <w:p w:rsidR="00D42326" w:rsidRDefault="00D42326" w:rsidP="00BA41A8">
      <w:pPr>
        <w:pStyle w:val="ListParagraph"/>
        <w:numPr>
          <w:ilvl w:val="0"/>
          <w:numId w:val="1"/>
        </w:numPr>
        <w:spacing w:after="0"/>
        <w:jc w:val="both"/>
        <w:rPr>
          <w:rFonts w:ascii="Arial" w:hAnsi="Arial" w:cs="Arial"/>
        </w:rPr>
      </w:pPr>
      <w:r>
        <w:rPr>
          <w:rFonts w:ascii="Arial" w:hAnsi="Arial" w:cs="Arial"/>
        </w:rPr>
        <w:t xml:space="preserve">“For Ladbrokes to cancel the winning bets after the event is unbelievable! Their email says initially the bets were settled at the correct price and then says they were cancelled.  It’s impossible to work out what they have done from my account history.  I was under the impression that to cancel a bet there had to be a palpable error, like typing 101 instead of 10.  In this case I thought the 3.3 price should have been more like 2.0, which is backed up by the fact the player only had 13 possessions in the first half.  McTominay played more minutes than expected </w:t>
      </w:r>
      <w:r w:rsidR="000F0060">
        <w:rPr>
          <w:rFonts w:ascii="Arial" w:hAnsi="Arial" w:cs="Arial"/>
        </w:rPr>
        <w:t>b</w:t>
      </w:r>
      <w:r>
        <w:rPr>
          <w:rFonts w:ascii="Arial" w:hAnsi="Arial" w:cs="Arial"/>
        </w:rPr>
        <w:t>ut that isn’t a pricing error in any way.  I also had Diego Costa to have over 4 shots in some of the bets</w:t>
      </w:r>
      <w:r w:rsidR="002E5277">
        <w:rPr>
          <w:rFonts w:ascii="Arial" w:hAnsi="Arial" w:cs="Arial"/>
        </w:rPr>
        <w:t>.  He’s the star forward for Chelsea and would usually play 90 mins.  In this game he was substituted after 66 mins because he got a yellow card and was losing his temper.  Obviously Ladbrokes didn’t cancel the Costa selection because he played less minutes, as that’s just part of the bet”.</w:t>
      </w:r>
    </w:p>
    <w:p w:rsidR="00F72830" w:rsidRPr="00F72830" w:rsidRDefault="00F72830" w:rsidP="00F72830">
      <w:pPr>
        <w:pStyle w:val="ListParagraph"/>
        <w:rPr>
          <w:rFonts w:ascii="Arial" w:hAnsi="Arial" w:cs="Arial"/>
        </w:rPr>
      </w:pPr>
    </w:p>
    <w:p w:rsidR="00F72830" w:rsidRPr="00D42326" w:rsidRDefault="00F72830" w:rsidP="00BA41A8">
      <w:pPr>
        <w:pStyle w:val="ListParagraph"/>
        <w:numPr>
          <w:ilvl w:val="0"/>
          <w:numId w:val="1"/>
        </w:numPr>
        <w:spacing w:after="0"/>
        <w:jc w:val="both"/>
        <w:rPr>
          <w:rFonts w:ascii="Arial" w:hAnsi="Arial" w:cs="Arial"/>
        </w:rPr>
      </w:pPr>
      <w:r>
        <w:rPr>
          <w:rFonts w:ascii="Arial" w:hAnsi="Arial" w:cs="Arial"/>
        </w:rPr>
        <w:t xml:space="preserve">Given the foregoing explanation by Mr </w:t>
      </w:r>
      <w:r w:rsidR="007F3330">
        <w:rPr>
          <w:rFonts w:ascii="Arial" w:hAnsi="Arial" w:cs="Arial"/>
        </w:rPr>
        <w:t>O</w:t>
      </w:r>
      <w:r>
        <w:rPr>
          <w:rFonts w:ascii="Arial" w:hAnsi="Arial" w:cs="Arial"/>
        </w:rPr>
        <w:t xml:space="preserve"> and taking into account Ladbrokes explanation and internal comparative odds provided, it is then up to the Commission to determine whether the odds offered by Ladbrokes were indeed posted in error or whether given the circumstances around player McTominay would be judged to be fair and equitable.</w:t>
      </w:r>
    </w:p>
    <w:p w:rsidR="002C3424" w:rsidRDefault="002C3424" w:rsidP="00B279FF">
      <w:pPr>
        <w:spacing w:after="0"/>
        <w:jc w:val="both"/>
        <w:rPr>
          <w:rFonts w:ascii="Arial" w:hAnsi="Arial" w:cs="Arial"/>
        </w:rPr>
      </w:pPr>
    </w:p>
    <w:p w:rsidR="009E0785" w:rsidRDefault="00887C22" w:rsidP="00B279FF">
      <w:pPr>
        <w:spacing w:after="0" w:line="240" w:lineRule="auto"/>
        <w:jc w:val="both"/>
        <w:rPr>
          <w:rFonts w:ascii="Arial" w:hAnsi="Arial" w:cs="Arial"/>
          <w:b/>
        </w:rPr>
      </w:pPr>
      <w:r w:rsidRPr="00887C22">
        <w:rPr>
          <w:rFonts w:ascii="Arial" w:hAnsi="Arial" w:cs="Arial"/>
          <w:b/>
        </w:rPr>
        <w:t>DECISION</w:t>
      </w:r>
    </w:p>
    <w:p w:rsidR="00BA41A8" w:rsidRDefault="00BA41A8" w:rsidP="00B279FF">
      <w:pPr>
        <w:spacing w:after="0" w:line="240" w:lineRule="auto"/>
        <w:jc w:val="both"/>
        <w:rPr>
          <w:rFonts w:ascii="Arial" w:hAnsi="Arial" w:cs="Arial"/>
          <w:b/>
        </w:rPr>
      </w:pPr>
    </w:p>
    <w:p w:rsidR="00BA41A8" w:rsidRDefault="00BA41A8" w:rsidP="00B279FF">
      <w:pPr>
        <w:pStyle w:val="ListParagraph"/>
        <w:numPr>
          <w:ilvl w:val="0"/>
          <w:numId w:val="1"/>
        </w:numPr>
        <w:spacing w:after="0" w:line="240" w:lineRule="auto"/>
        <w:jc w:val="both"/>
        <w:rPr>
          <w:rFonts w:ascii="Arial" w:hAnsi="Arial" w:cs="Arial"/>
        </w:rPr>
      </w:pPr>
      <w:r>
        <w:rPr>
          <w:rFonts w:ascii="Arial" w:hAnsi="Arial" w:cs="Arial"/>
        </w:rPr>
        <w:t>The Commission recognises Ladbrokes right to void a wager in the event of incorrect odds displayed (Rules 4.</w:t>
      </w:r>
      <w:r w:rsidR="00591B2F">
        <w:rPr>
          <w:rFonts w:ascii="Arial" w:hAnsi="Arial" w:cs="Arial"/>
        </w:rPr>
        <w:t>2</w:t>
      </w:r>
      <w:r>
        <w:rPr>
          <w:rFonts w:ascii="Arial" w:hAnsi="Arial" w:cs="Arial"/>
        </w:rPr>
        <w:t>, 13.1 and 14.1 of their Terms and Conditions refers)</w:t>
      </w:r>
      <w:r w:rsidR="004B52BE">
        <w:rPr>
          <w:rFonts w:ascii="Arial" w:hAnsi="Arial" w:cs="Arial"/>
        </w:rPr>
        <w:t>.</w:t>
      </w:r>
    </w:p>
    <w:p w:rsidR="004B52BE" w:rsidRDefault="004B52BE" w:rsidP="00B279FF">
      <w:pPr>
        <w:spacing w:after="0" w:line="240" w:lineRule="auto"/>
        <w:jc w:val="both"/>
        <w:rPr>
          <w:rFonts w:ascii="Arial" w:hAnsi="Arial" w:cs="Arial"/>
        </w:rPr>
      </w:pPr>
    </w:p>
    <w:p w:rsidR="004B52BE" w:rsidRDefault="004B52BE" w:rsidP="00B279FF">
      <w:pPr>
        <w:pStyle w:val="ListParagraph"/>
        <w:numPr>
          <w:ilvl w:val="0"/>
          <w:numId w:val="1"/>
        </w:numPr>
        <w:spacing w:after="0" w:line="240" w:lineRule="auto"/>
        <w:jc w:val="both"/>
        <w:rPr>
          <w:rFonts w:ascii="Arial" w:hAnsi="Arial" w:cs="Arial"/>
        </w:rPr>
      </w:pPr>
      <w:r>
        <w:rPr>
          <w:rFonts w:ascii="Arial" w:hAnsi="Arial" w:cs="Arial"/>
        </w:rPr>
        <w:t xml:space="preserve">However these should relate to obvious errors, as in the case of an $11 price being posted as </w:t>
      </w:r>
      <w:r w:rsidR="00C768E4">
        <w:rPr>
          <w:rFonts w:ascii="Arial" w:hAnsi="Arial" w:cs="Arial"/>
        </w:rPr>
        <w:t>$</w:t>
      </w:r>
      <w:r>
        <w:rPr>
          <w:rFonts w:ascii="Arial" w:hAnsi="Arial" w:cs="Arial"/>
        </w:rPr>
        <w:t>101 or something similar, due to a typographical or human error.</w:t>
      </w:r>
    </w:p>
    <w:p w:rsidR="004B52BE" w:rsidRPr="004B52BE" w:rsidRDefault="004B52BE" w:rsidP="00B279FF">
      <w:pPr>
        <w:pStyle w:val="ListParagraph"/>
        <w:jc w:val="both"/>
        <w:rPr>
          <w:rFonts w:ascii="Arial" w:hAnsi="Arial" w:cs="Arial"/>
        </w:rPr>
      </w:pPr>
    </w:p>
    <w:p w:rsidR="004B52BE" w:rsidRDefault="004B52BE" w:rsidP="00B279FF">
      <w:pPr>
        <w:pStyle w:val="ListParagraph"/>
        <w:numPr>
          <w:ilvl w:val="0"/>
          <w:numId w:val="1"/>
        </w:numPr>
        <w:spacing w:after="0" w:line="240" w:lineRule="auto"/>
        <w:jc w:val="both"/>
        <w:rPr>
          <w:rFonts w:ascii="Arial" w:hAnsi="Arial" w:cs="Arial"/>
        </w:rPr>
      </w:pPr>
      <w:r>
        <w:rPr>
          <w:rFonts w:ascii="Arial" w:hAnsi="Arial" w:cs="Arial"/>
        </w:rPr>
        <w:t>This would not appear to be the case in this dispute as the allegedly incorrect odds were simply above what Ladbrokes claim to be the correct odds for the number of passes to be completed by Mr McTominay during the match.</w:t>
      </w:r>
    </w:p>
    <w:p w:rsidR="00FA328F" w:rsidRPr="00FA328F" w:rsidRDefault="00FA328F" w:rsidP="00B279FF">
      <w:pPr>
        <w:pStyle w:val="ListParagraph"/>
        <w:jc w:val="both"/>
        <w:rPr>
          <w:rFonts w:ascii="Arial" w:hAnsi="Arial" w:cs="Arial"/>
        </w:rPr>
      </w:pPr>
    </w:p>
    <w:p w:rsidR="00FA328F" w:rsidRDefault="00FA328F" w:rsidP="00B279FF">
      <w:pPr>
        <w:pStyle w:val="ListParagraph"/>
        <w:numPr>
          <w:ilvl w:val="0"/>
          <w:numId w:val="1"/>
        </w:numPr>
        <w:spacing w:after="0" w:line="240" w:lineRule="auto"/>
        <w:jc w:val="both"/>
        <w:rPr>
          <w:rFonts w:ascii="Arial" w:hAnsi="Arial" w:cs="Arial"/>
        </w:rPr>
      </w:pPr>
      <w:r>
        <w:rPr>
          <w:rFonts w:ascii="Arial" w:hAnsi="Arial" w:cs="Arial"/>
        </w:rPr>
        <w:t>In coming to its decision the Commission has taken into account the following factors which in its opinion, are at the heart of this dispute</w:t>
      </w:r>
      <w:r w:rsidR="0001151F">
        <w:rPr>
          <w:rFonts w:ascii="Arial" w:hAnsi="Arial" w:cs="Arial"/>
        </w:rPr>
        <w:t>:</w:t>
      </w:r>
    </w:p>
    <w:p w:rsidR="00F0500B" w:rsidRDefault="00F0500B" w:rsidP="00B279FF">
      <w:pPr>
        <w:pStyle w:val="ListParagraph"/>
        <w:jc w:val="both"/>
        <w:rPr>
          <w:rFonts w:ascii="Arial" w:hAnsi="Arial" w:cs="Arial"/>
        </w:rPr>
      </w:pPr>
    </w:p>
    <w:p w:rsidR="00F0500B" w:rsidRDefault="00F0500B" w:rsidP="00866527">
      <w:pPr>
        <w:pStyle w:val="ListParagraph"/>
        <w:numPr>
          <w:ilvl w:val="0"/>
          <w:numId w:val="2"/>
        </w:numPr>
        <w:spacing w:before="80" w:after="80"/>
        <w:ind w:left="1434" w:hanging="357"/>
        <w:contextualSpacing w:val="0"/>
        <w:jc w:val="both"/>
        <w:rPr>
          <w:rFonts w:ascii="Arial" w:hAnsi="Arial" w:cs="Arial"/>
        </w:rPr>
      </w:pPr>
      <w:r>
        <w:rPr>
          <w:rFonts w:ascii="Arial" w:hAnsi="Arial" w:cs="Arial"/>
        </w:rPr>
        <w:t>Scott McTominay was on debut for Manchester Un</w:t>
      </w:r>
      <w:r w:rsidR="00C768E4">
        <w:rPr>
          <w:rFonts w:ascii="Arial" w:hAnsi="Arial" w:cs="Arial"/>
        </w:rPr>
        <w:t>it</w:t>
      </w:r>
      <w:r>
        <w:rPr>
          <w:rFonts w:ascii="Arial" w:hAnsi="Arial" w:cs="Arial"/>
        </w:rPr>
        <w:t>ed</w:t>
      </w:r>
    </w:p>
    <w:p w:rsidR="00F0500B" w:rsidRDefault="00F0500B" w:rsidP="00866527">
      <w:pPr>
        <w:pStyle w:val="ListParagraph"/>
        <w:numPr>
          <w:ilvl w:val="0"/>
          <w:numId w:val="2"/>
        </w:numPr>
        <w:spacing w:before="80" w:after="80"/>
        <w:ind w:left="1434" w:hanging="357"/>
        <w:contextualSpacing w:val="0"/>
        <w:jc w:val="both"/>
        <w:rPr>
          <w:rFonts w:ascii="Arial" w:hAnsi="Arial" w:cs="Arial"/>
        </w:rPr>
      </w:pPr>
      <w:r>
        <w:rPr>
          <w:rFonts w:ascii="Arial" w:hAnsi="Arial" w:cs="Arial"/>
        </w:rPr>
        <w:t>Against expectations he played the full 90 minutes of the match</w:t>
      </w:r>
    </w:p>
    <w:p w:rsidR="00F0500B" w:rsidRDefault="00F0500B" w:rsidP="00866527">
      <w:pPr>
        <w:pStyle w:val="ListParagraph"/>
        <w:numPr>
          <w:ilvl w:val="0"/>
          <w:numId w:val="2"/>
        </w:numPr>
        <w:spacing w:before="80" w:after="80"/>
        <w:ind w:left="1434" w:hanging="357"/>
        <w:contextualSpacing w:val="0"/>
        <w:jc w:val="both"/>
        <w:rPr>
          <w:rFonts w:ascii="Arial" w:hAnsi="Arial" w:cs="Arial"/>
        </w:rPr>
      </w:pPr>
      <w:r>
        <w:rPr>
          <w:rFonts w:ascii="Arial" w:hAnsi="Arial" w:cs="Arial"/>
        </w:rPr>
        <w:t>This came about due to the uncharacteristic substitution of star players like Pogba and Rooney. Pogba at half time and Rooney well before full time, giving rise to McTominay playing longer than would normally be expected.</w:t>
      </w:r>
    </w:p>
    <w:p w:rsidR="00F0500B" w:rsidRDefault="00F0500B" w:rsidP="00866527">
      <w:pPr>
        <w:pStyle w:val="ListParagraph"/>
        <w:numPr>
          <w:ilvl w:val="0"/>
          <w:numId w:val="2"/>
        </w:numPr>
        <w:spacing w:before="80" w:after="0"/>
        <w:ind w:left="1434" w:hanging="357"/>
        <w:contextualSpacing w:val="0"/>
        <w:jc w:val="both"/>
        <w:rPr>
          <w:rFonts w:ascii="Arial" w:hAnsi="Arial" w:cs="Arial"/>
        </w:rPr>
      </w:pPr>
      <w:r>
        <w:rPr>
          <w:rFonts w:ascii="Arial" w:hAnsi="Arial" w:cs="Arial"/>
        </w:rPr>
        <w:t>Crystal Palace</w:t>
      </w:r>
      <w:r w:rsidR="0001151F">
        <w:rPr>
          <w:rFonts w:ascii="Arial" w:hAnsi="Arial" w:cs="Arial"/>
        </w:rPr>
        <w:t>s</w:t>
      </w:r>
      <w:r>
        <w:rPr>
          <w:rFonts w:ascii="Arial" w:hAnsi="Arial" w:cs="Arial"/>
        </w:rPr>
        <w:t xml:space="preserve"> style of play against sides such as Manchester United which was to be defensive, giving the opposition more use of the ball.</w:t>
      </w:r>
    </w:p>
    <w:p w:rsidR="00866527" w:rsidRDefault="00866527" w:rsidP="00866527">
      <w:pPr>
        <w:pStyle w:val="ListParagraph"/>
        <w:spacing w:after="0"/>
        <w:ind w:left="1435"/>
        <w:contextualSpacing w:val="0"/>
        <w:jc w:val="both"/>
        <w:rPr>
          <w:rFonts w:ascii="Arial" w:hAnsi="Arial" w:cs="Arial"/>
        </w:rPr>
      </w:pPr>
    </w:p>
    <w:p w:rsidR="00F0500B" w:rsidRDefault="00B279FF" w:rsidP="00866527">
      <w:pPr>
        <w:pStyle w:val="ListParagraph"/>
        <w:numPr>
          <w:ilvl w:val="0"/>
          <w:numId w:val="1"/>
        </w:numPr>
        <w:spacing w:line="240" w:lineRule="auto"/>
        <w:jc w:val="both"/>
        <w:rPr>
          <w:rFonts w:ascii="Arial" w:hAnsi="Arial" w:cs="Arial"/>
        </w:rPr>
      </w:pPr>
      <w:r>
        <w:rPr>
          <w:rFonts w:ascii="Arial" w:hAnsi="Arial" w:cs="Arial"/>
        </w:rPr>
        <w:t>We consider this to be a case of the bookmaker under estimating the impact of these unforeseen circumstances at the ti</w:t>
      </w:r>
      <w:r w:rsidR="00E150F9">
        <w:rPr>
          <w:rFonts w:ascii="Arial" w:hAnsi="Arial" w:cs="Arial"/>
        </w:rPr>
        <w:t>m</w:t>
      </w:r>
      <w:r>
        <w:rPr>
          <w:rFonts w:ascii="Arial" w:hAnsi="Arial" w:cs="Arial"/>
        </w:rPr>
        <w:t>e of setting its odds for the number of passes to be completed by Scott McTominay.</w:t>
      </w:r>
    </w:p>
    <w:p w:rsidR="00B50E24" w:rsidRDefault="00B50E24" w:rsidP="00866527">
      <w:pPr>
        <w:spacing w:line="240" w:lineRule="auto"/>
        <w:ind w:left="720"/>
        <w:jc w:val="both"/>
        <w:rPr>
          <w:rFonts w:ascii="Arial" w:hAnsi="Arial" w:cs="Arial"/>
        </w:rPr>
      </w:pPr>
      <w:r>
        <w:rPr>
          <w:rFonts w:ascii="Arial" w:hAnsi="Arial" w:cs="Arial"/>
        </w:rPr>
        <w:lastRenderedPageBreak/>
        <w:t>In effect, the bookmaker considered McTominay to be equivalent of “a roughie” in horse racing parlance and set its odds accordingly.</w:t>
      </w:r>
    </w:p>
    <w:p w:rsidR="00AC428F" w:rsidRDefault="00AC428F" w:rsidP="00866527">
      <w:pPr>
        <w:pStyle w:val="ListParagraph"/>
        <w:numPr>
          <w:ilvl w:val="0"/>
          <w:numId w:val="1"/>
        </w:numPr>
        <w:spacing w:after="0" w:line="240" w:lineRule="auto"/>
        <w:jc w:val="both"/>
        <w:rPr>
          <w:rFonts w:ascii="Arial" w:hAnsi="Arial" w:cs="Arial"/>
        </w:rPr>
      </w:pPr>
      <w:r>
        <w:rPr>
          <w:rFonts w:ascii="Arial" w:hAnsi="Arial" w:cs="Arial"/>
        </w:rPr>
        <w:t xml:space="preserve">Mr </w:t>
      </w:r>
      <w:r w:rsidR="007F3330">
        <w:rPr>
          <w:rFonts w:ascii="Arial" w:hAnsi="Arial" w:cs="Arial"/>
        </w:rPr>
        <w:t>O</w:t>
      </w:r>
      <w:r>
        <w:rPr>
          <w:rFonts w:ascii="Arial" w:hAnsi="Arial" w:cs="Arial"/>
        </w:rPr>
        <w:t xml:space="preserve"> appears to be a very knowledgeable student of the game and of the circumstances surrounding this particular match.</w:t>
      </w:r>
    </w:p>
    <w:p w:rsidR="00AC428F" w:rsidRPr="00AC428F" w:rsidRDefault="00AC428F" w:rsidP="00AC428F">
      <w:pPr>
        <w:spacing w:after="0" w:line="240" w:lineRule="auto"/>
        <w:ind w:left="360"/>
        <w:jc w:val="both"/>
        <w:rPr>
          <w:rFonts w:ascii="Arial" w:hAnsi="Arial" w:cs="Arial"/>
        </w:rPr>
      </w:pPr>
    </w:p>
    <w:p w:rsidR="00AC428F" w:rsidRDefault="00AC428F" w:rsidP="00AC428F">
      <w:pPr>
        <w:pStyle w:val="ListParagraph"/>
        <w:numPr>
          <w:ilvl w:val="0"/>
          <w:numId w:val="1"/>
        </w:numPr>
        <w:spacing w:after="0" w:line="240" w:lineRule="auto"/>
        <w:jc w:val="both"/>
        <w:rPr>
          <w:rFonts w:ascii="Arial" w:hAnsi="Arial" w:cs="Arial"/>
        </w:rPr>
      </w:pPr>
      <w:r w:rsidRPr="00AC428F">
        <w:rPr>
          <w:rFonts w:ascii="Arial" w:hAnsi="Arial" w:cs="Arial"/>
        </w:rPr>
        <w:t>He used his knowledge in placing his multi bets to take advantage of the generous   odds on offer.  Thereby inflicting loss on the bookmaker, which is his right, as a party to a betting contract.</w:t>
      </w:r>
    </w:p>
    <w:p w:rsidR="00420B91" w:rsidRPr="00420B91" w:rsidRDefault="00420B91" w:rsidP="00420B91">
      <w:pPr>
        <w:pStyle w:val="ListParagraph"/>
        <w:rPr>
          <w:rFonts w:ascii="Arial" w:hAnsi="Arial" w:cs="Arial"/>
        </w:rPr>
      </w:pPr>
    </w:p>
    <w:p w:rsidR="00420B91" w:rsidRDefault="00420B91" w:rsidP="00AC428F">
      <w:pPr>
        <w:pStyle w:val="ListParagraph"/>
        <w:numPr>
          <w:ilvl w:val="0"/>
          <w:numId w:val="1"/>
        </w:numPr>
        <w:spacing w:after="0" w:line="240" w:lineRule="auto"/>
        <w:jc w:val="both"/>
        <w:rPr>
          <w:rFonts w:ascii="Arial" w:hAnsi="Arial" w:cs="Arial"/>
        </w:rPr>
      </w:pPr>
      <w:r>
        <w:rPr>
          <w:rFonts w:ascii="Arial" w:hAnsi="Arial" w:cs="Arial"/>
        </w:rPr>
        <w:t>The Commission is not convinced that the comparative odds information provided by the bookmaker is relevant, as it does not include comparative odds from other bookmakers, simply relying on comparing its own odds on other Manchester United players to that of McTominay.</w:t>
      </w:r>
    </w:p>
    <w:p w:rsidR="00ED7891" w:rsidRPr="00ED7891" w:rsidRDefault="00ED7891" w:rsidP="00ED7891">
      <w:pPr>
        <w:pStyle w:val="ListParagraph"/>
        <w:rPr>
          <w:rFonts w:ascii="Arial" w:hAnsi="Arial" w:cs="Arial"/>
        </w:rPr>
      </w:pPr>
    </w:p>
    <w:p w:rsidR="00ED7891" w:rsidRDefault="00ED7891" w:rsidP="00AC428F">
      <w:pPr>
        <w:pStyle w:val="ListParagraph"/>
        <w:numPr>
          <w:ilvl w:val="0"/>
          <w:numId w:val="1"/>
        </w:numPr>
        <w:spacing w:after="0" w:line="240" w:lineRule="auto"/>
        <w:jc w:val="both"/>
        <w:rPr>
          <w:rFonts w:ascii="Arial" w:hAnsi="Arial" w:cs="Arial"/>
        </w:rPr>
      </w:pPr>
      <w:r>
        <w:rPr>
          <w:rFonts w:ascii="Arial" w:hAnsi="Arial" w:cs="Arial"/>
        </w:rPr>
        <w:t xml:space="preserve">The Commission has determined that this is not a case of obviously incorrect odds and accordingly finds that the multi bets placed by Mr </w:t>
      </w:r>
      <w:r w:rsidR="007F3330">
        <w:rPr>
          <w:rFonts w:ascii="Arial" w:hAnsi="Arial" w:cs="Arial"/>
        </w:rPr>
        <w:t>O</w:t>
      </w:r>
      <w:r>
        <w:rPr>
          <w:rFonts w:ascii="Arial" w:hAnsi="Arial" w:cs="Arial"/>
        </w:rPr>
        <w:t xml:space="preserve"> are lawful bets and are to be honoured by the bookmaker.</w:t>
      </w:r>
    </w:p>
    <w:p w:rsidR="00F0500B" w:rsidRDefault="00F0500B" w:rsidP="00F0500B">
      <w:pPr>
        <w:spacing w:after="0" w:line="240" w:lineRule="auto"/>
        <w:ind w:left="360"/>
        <w:rPr>
          <w:rFonts w:ascii="Arial" w:hAnsi="Arial" w:cs="Arial"/>
        </w:rPr>
      </w:pPr>
    </w:p>
    <w:p w:rsidR="00866527" w:rsidRDefault="00866527" w:rsidP="00F0500B">
      <w:pPr>
        <w:spacing w:after="0" w:line="240" w:lineRule="auto"/>
        <w:ind w:left="360"/>
        <w:rPr>
          <w:rFonts w:ascii="Arial" w:hAnsi="Arial" w:cs="Arial"/>
        </w:rPr>
      </w:pPr>
    </w:p>
    <w:p w:rsidR="00920A77" w:rsidRPr="00F0500B" w:rsidRDefault="00866527" w:rsidP="00866527">
      <w:pPr>
        <w:spacing w:after="0" w:line="240" w:lineRule="auto"/>
        <w:rPr>
          <w:rFonts w:ascii="Arial" w:hAnsi="Arial" w:cs="Arial"/>
        </w:rPr>
      </w:pPr>
      <w:r>
        <w:rPr>
          <w:rFonts w:ascii="Arial" w:hAnsi="Arial" w:cs="Arial"/>
          <w:noProof/>
          <w:lang w:eastAsia="en-AU"/>
        </w:rPr>
        <w:drawing>
          <wp:inline distT="0" distB="0" distL="0" distR="0">
            <wp:extent cx="2157437"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B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183304" cy="935003"/>
                    </a:xfrm>
                    <a:prstGeom prst="rect">
                      <a:avLst/>
                    </a:prstGeom>
                  </pic:spPr>
                </pic:pic>
              </a:graphicData>
            </a:graphic>
          </wp:inline>
        </w:drawing>
      </w:r>
    </w:p>
    <w:p w:rsidR="00E529E3" w:rsidRPr="00D10C43" w:rsidRDefault="005074F4" w:rsidP="00E529E3">
      <w:pPr>
        <w:spacing w:after="0" w:line="240" w:lineRule="auto"/>
        <w:rPr>
          <w:rFonts w:ascii="Arial" w:hAnsi="Arial" w:cs="Arial"/>
          <w:b/>
        </w:rPr>
      </w:pPr>
      <w:r>
        <w:rPr>
          <w:rFonts w:ascii="Arial" w:hAnsi="Arial" w:cs="Arial"/>
          <w:b/>
        </w:rPr>
        <w:t>John Boneham</w:t>
      </w:r>
    </w:p>
    <w:p w:rsidR="00E529E3" w:rsidRDefault="005074F4" w:rsidP="00E529E3">
      <w:pPr>
        <w:spacing w:after="0" w:line="240" w:lineRule="auto"/>
        <w:rPr>
          <w:rFonts w:ascii="Arial" w:hAnsi="Arial" w:cs="Arial"/>
        </w:rPr>
      </w:pPr>
      <w:r>
        <w:rPr>
          <w:rFonts w:ascii="Arial" w:hAnsi="Arial" w:cs="Arial"/>
        </w:rPr>
        <w:t>Presiding Member</w:t>
      </w:r>
    </w:p>
    <w:p w:rsidR="00231F83" w:rsidRDefault="005074F4" w:rsidP="009422B4">
      <w:pPr>
        <w:spacing w:after="0" w:line="240" w:lineRule="auto"/>
        <w:rPr>
          <w:rFonts w:ascii="Arial" w:hAnsi="Arial" w:cs="Arial"/>
        </w:rPr>
      </w:pPr>
      <w:r>
        <w:rPr>
          <w:rFonts w:ascii="Arial" w:hAnsi="Arial" w:cs="Arial"/>
        </w:rPr>
        <w:t>NT Racing Commission</w:t>
      </w:r>
    </w:p>
    <w:p w:rsidR="0020451F" w:rsidRDefault="0020451F" w:rsidP="009422B4">
      <w:pPr>
        <w:spacing w:after="0" w:line="240" w:lineRule="auto"/>
        <w:rPr>
          <w:rFonts w:ascii="Arial" w:hAnsi="Arial" w:cs="Arial"/>
        </w:rPr>
      </w:pPr>
    </w:p>
    <w:p w:rsidR="00CB014F" w:rsidRPr="00231F83" w:rsidRDefault="00866527" w:rsidP="009422B4">
      <w:pPr>
        <w:spacing w:after="0" w:line="240" w:lineRule="auto"/>
        <w:rPr>
          <w:rFonts w:ascii="Arial" w:hAnsi="Arial" w:cs="Arial"/>
        </w:rPr>
      </w:pPr>
      <w:r>
        <w:rPr>
          <w:rFonts w:ascii="Arial" w:hAnsi="Arial" w:cs="Arial"/>
        </w:rPr>
        <w:t>23</w:t>
      </w:r>
      <w:r w:rsidR="00973180">
        <w:rPr>
          <w:rFonts w:ascii="Arial" w:hAnsi="Arial" w:cs="Arial"/>
        </w:rPr>
        <w:t xml:space="preserve"> November 2017</w:t>
      </w:r>
    </w:p>
    <w:sectPr w:rsidR="00CB014F" w:rsidRPr="00231F83" w:rsidSect="00866527">
      <w:footerReference w:type="default" r:id="rId9"/>
      <w:pgSz w:w="11906" w:h="16838"/>
      <w:pgMar w:top="1135" w:right="1274"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F4" w:rsidRDefault="005074F4" w:rsidP="005074F4">
      <w:pPr>
        <w:spacing w:after="0" w:line="240" w:lineRule="auto"/>
      </w:pPr>
      <w:r>
        <w:separator/>
      </w:r>
    </w:p>
  </w:endnote>
  <w:endnote w:type="continuationSeparator" w:id="0">
    <w:p w:rsidR="005074F4" w:rsidRDefault="005074F4" w:rsidP="0050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F4" w:rsidRDefault="005074F4" w:rsidP="005074F4">
    <w:pPr>
      <w:pStyle w:val="Footer"/>
      <w:jc w:val="center"/>
    </w:pPr>
  </w:p>
  <w:p w:rsidR="005074F4" w:rsidRDefault="007F3330" w:rsidP="005074F4">
    <w:pPr>
      <w:pStyle w:val="Footer"/>
      <w:jc w:val="center"/>
    </w:pPr>
    <w:sdt>
      <w:sdtPr>
        <w:id w:val="129136569"/>
        <w:docPartObj>
          <w:docPartGallery w:val="Page Numbers (Bottom of Page)"/>
          <w:docPartUnique/>
        </w:docPartObj>
      </w:sdtPr>
      <w:sdtEndPr>
        <w:rPr>
          <w:noProof/>
        </w:rPr>
      </w:sdtEndPr>
      <w:sdtContent>
        <w:r w:rsidR="005074F4">
          <w:fldChar w:fldCharType="begin"/>
        </w:r>
        <w:r w:rsidR="005074F4">
          <w:instrText xml:space="preserve"> PAGE   \* MERGEFORMAT </w:instrText>
        </w:r>
        <w:r w:rsidR="005074F4">
          <w:fldChar w:fldCharType="separate"/>
        </w:r>
        <w:r>
          <w:rPr>
            <w:noProof/>
          </w:rPr>
          <w:t>5</w:t>
        </w:r>
        <w:r w:rsidR="005074F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F4" w:rsidRDefault="005074F4" w:rsidP="005074F4">
      <w:pPr>
        <w:spacing w:after="0" w:line="240" w:lineRule="auto"/>
      </w:pPr>
      <w:r>
        <w:separator/>
      </w:r>
    </w:p>
  </w:footnote>
  <w:footnote w:type="continuationSeparator" w:id="0">
    <w:p w:rsidR="005074F4" w:rsidRDefault="005074F4" w:rsidP="00507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DFA"/>
    <w:multiLevelType w:val="hybridMultilevel"/>
    <w:tmpl w:val="98F6898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3BC83A9D"/>
    <w:multiLevelType w:val="hybridMultilevel"/>
    <w:tmpl w:val="528AC8AA"/>
    <w:lvl w:ilvl="0" w:tplc="8C9E2638">
      <w:start w:val="1"/>
      <w:numFmt w:val="decimal"/>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BE3212"/>
    <w:multiLevelType w:val="hybridMultilevel"/>
    <w:tmpl w:val="204C8466"/>
    <w:lvl w:ilvl="0" w:tplc="8C9E2638">
      <w:start w:val="1"/>
      <w:numFmt w:val="decimal"/>
      <w:lvlText w:val="%1."/>
      <w:lvlJc w:val="left"/>
      <w:pPr>
        <w:ind w:left="1440" w:hanging="360"/>
      </w:pPr>
      <w:rPr>
        <w:b w:val="0"/>
        <w:i w:val="0"/>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D1"/>
    <w:rsid w:val="000025E4"/>
    <w:rsid w:val="00002D36"/>
    <w:rsid w:val="000110C2"/>
    <w:rsid w:val="0001151F"/>
    <w:rsid w:val="00011827"/>
    <w:rsid w:val="00011B49"/>
    <w:rsid w:val="0001488C"/>
    <w:rsid w:val="00024429"/>
    <w:rsid w:val="00024788"/>
    <w:rsid w:val="00033279"/>
    <w:rsid w:val="00037DF3"/>
    <w:rsid w:val="00040CDB"/>
    <w:rsid w:val="0004335F"/>
    <w:rsid w:val="00044EBD"/>
    <w:rsid w:val="00046120"/>
    <w:rsid w:val="000466E7"/>
    <w:rsid w:val="000534E1"/>
    <w:rsid w:val="0006001E"/>
    <w:rsid w:val="00061A1E"/>
    <w:rsid w:val="00062482"/>
    <w:rsid w:val="00062A84"/>
    <w:rsid w:val="000637FD"/>
    <w:rsid w:val="00066D3A"/>
    <w:rsid w:val="000729B3"/>
    <w:rsid w:val="00081D2C"/>
    <w:rsid w:val="0008501B"/>
    <w:rsid w:val="00087B03"/>
    <w:rsid w:val="0009645F"/>
    <w:rsid w:val="000A32BC"/>
    <w:rsid w:val="000B5BBC"/>
    <w:rsid w:val="000B5BEE"/>
    <w:rsid w:val="000C16FE"/>
    <w:rsid w:val="000C358D"/>
    <w:rsid w:val="000C60B0"/>
    <w:rsid w:val="000D25E9"/>
    <w:rsid w:val="000D374D"/>
    <w:rsid w:val="000D54BC"/>
    <w:rsid w:val="000D72A6"/>
    <w:rsid w:val="000E7829"/>
    <w:rsid w:val="000F0060"/>
    <w:rsid w:val="000F121C"/>
    <w:rsid w:val="000F2A4C"/>
    <w:rsid w:val="000F3204"/>
    <w:rsid w:val="000F5CDA"/>
    <w:rsid w:val="00105E06"/>
    <w:rsid w:val="00113788"/>
    <w:rsid w:val="00113FBB"/>
    <w:rsid w:val="001224A6"/>
    <w:rsid w:val="0012308F"/>
    <w:rsid w:val="001305DA"/>
    <w:rsid w:val="0013432D"/>
    <w:rsid w:val="00143A52"/>
    <w:rsid w:val="0014470A"/>
    <w:rsid w:val="00145BA6"/>
    <w:rsid w:val="00147149"/>
    <w:rsid w:val="00151F3C"/>
    <w:rsid w:val="001533F2"/>
    <w:rsid w:val="00160D2C"/>
    <w:rsid w:val="001649B1"/>
    <w:rsid w:val="0018536E"/>
    <w:rsid w:val="00186D15"/>
    <w:rsid w:val="00191C86"/>
    <w:rsid w:val="00196366"/>
    <w:rsid w:val="001A177A"/>
    <w:rsid w:val="001A1780"/>
    <w:rsid w:val="001B2540"/>
    <w:rsid w:val="001C3CE4"/>
    <w:rsid w:val="001C509D"/>
    <w:rsid w:val="001D05AB"/>
    <w:rsid w:val="001D1F04"/>
    <w:rsid w:val="001D52E1"/>
    <w:rsid w:val="001E3DD2"/>
    <w:rsid w:val="001E3EA4"/>
    <w:rsid w:val="00200551"/>
    <w:rsid w:val="00200980"/>
    <w:rsid w:val="002028DE"/>
    <w:rsid w:val="0020451F"/>
    <w:rsid w:val="0022151A"/>
    <w:rsid w:val="002259E6"/>
    <w:rsid w:val="00227A4F"/>
    <w:rsid w:val="00231EB8"/>
    <w:rsid w:val="00231F83"/>
    <w:rsid w:val="00232F3D"/>
    <w:rsid w:val="00232FEF"/>
    <w:rsid w:val="0023314B"/>
    <w:rsid w:val="00235199"/>
    <w:rsid w:val="002452F0"/>
    <w:rsid w:val="002477AE"/>
    <w:rsid w:val="00252201"/>
    <w:rsid w:val="00260256"/>
    <w:rsid w:val="00260546"/>
    <w:rsid w:val="002642D3"/>
    <w:rsid w:val="00271878"/>
    <w:rsid w:val="00276447"/>
    <w:rsid w:val="002859F1"/>
    <w:rsid w:val="00292D1B"/>
    <w:rsid w:val="00292DEB"/>
    <w:rsid w:val="002A13BF"/>
    <w:rsid w:val="002B14EE"/>
    <w:rsid w:val="002B24CE"/>
    <w:rsid w:val="002B4B45"/>
    <w:rsid w:val="002B74F6"/>
    <w:rsid w:val="002C2B49"/>
    <w:rsid w:val="002C3424"/>
    <w:rsid w:val="002D5043"/>
    <w:rsid w:val="002D6D70"/>
    <w:rsid w:val="002E3412"/>
    <w:rsid w:val="002E5277"/>
    <w:rsid w:val="002F182E"/>
    <w:rsid w:val="003003BD"/>
    <w:rsid w:val="00303598"/>
    <w:rsid w:val="00324F8C"/>
    <w:rsid w:val="003273FE"/>
    <w:rsid w:val="003274EA"/>
    <w:rsid w:val="0033209C"/>
    <w:rsid w:val="003355FD"/>
    <w:rsid w:val="00344626"/>
    <w:rsid w:val="003504C8"/>
    <w:rsid w:val="00353637"/>
    <w:rsid w:val="00374180"/>
    <w:rsid w:val="00376E79"/>
    <w:rsid w:val="003814CA"/>
    <w:rsid w:val="003903EC"/>
    <w:rsid w:val="003913FC"/>
    <w:rsid w:val="0039668E"/>
    <w:rsid w:val="00396FC5"/>
    <w:rsid w:val="003A3597"/>
    <w:rsid w:val="003A7F8B"/>
    <w:rsid w:val="003B0675"/>
    <w:rsid w:val="003B1D99"/>
    <w:rsid w:val="003B325C"/>
    <w:rsid w:val="003B4C5D"/>
    <w:rsid w:val="003B5AB7"/>
    <w:rsid w:val="003B7FDA"/>
    <w:rsid w:val="003C04E5"/>
    <w:rsid w:val="003C32E9"/>
    <w:rsid w:val="003C5F30"/>
    <w:rsid w:val="003C6B6A"/>
    <w:rsid w:val="003C7535"/>
    <w:rsid w:val="003D0B4D"/>
    <w:rsid w:val="003D0C21"/>
    <w:rsid w:val="003D4BF8"/>
    <w:rsid w:val="003D4E65"/>
    <w:rsid w:val="003E23C0"/>
    <w:rsid w:val="003E311A"/>
    <w:rsid w:val="003F3D84"/>
    <w:rsid w:val="003F4485"/>
    <w:rsid w:val="003F5077"/>
    <w:rsid w:val="003F63F2"/>
    <w:rsid w:val="00411A18"/>
    <w:rsid w:val="004127BE"/>
    <w:rsid w:val="00420B91"/>
    <w:rsid w:val="00423CC5"/>
    <w:rsid w:val="00426CC2"/>
    <w:rsid w:val="004310B9"/>
    <w:rsid w:val="00433DA7"/>
    <w:rsid w:val="004356DD"/>
    <w:rsid w:val="0044553C"/>
    <w:rsid w:val="00446053"/>
    <w:rsid w:val="0045178C"/>
    <w:rsid w:val="0045255B"/>
    <w:rsid w:val="00452FD7"/>
    <w:rsid w:val="00453962"/>
    <w:rsid w:val="004651E7"/>
    <w:rsid w:val="00465792"/>
    <w:rsid w:val="00480274"/>
    <w:rsid w:val="00485982"/>
    <w:rsid w:val="00486B65"/>
    <w:rsid w:val="004A2EBB"/>
    <w:rsid w:val="004A5F9A"/>
    <w:rsid w:val="004B0B04"/>
    <w:rsid w:val="004B2B89"/>
    <w:rsid w:val="004B52BE"/>
    <w:rsid w:val="004B5871"/>
    <w:rsid w:val="004B598B"/>
    <w:rsid w:val="004C331B"/>
    <w:rsid w:val="004C542D"/>
    <w:rsid w:val="004D041D"/>
    <w:rsid w:val="004E0BB6"/>
    <w:rsid w:val="004E3E0A"/>
    <w:rsid w:val="004E4590"/>
    <w:rsid w:val="004E66F9"/>
    <w:rsid w:val="004E6A2D"/>
    <w:rsid w:val="004F24B9"/>
    <w:rsid w:val="005074F4"/>
    <w:rsid w:val="00510764"/>
    <w:rsid w:val="00521500"/>
    <w:rsid w:val="00522DA2"/>
    <w:rsid w:val="00522F43"/>
    <w:rsid w:val="00523282"/>
    <w:rsid w:val="005305E2"/>
    <w:rsid w:val="00532BCC"/>
    <w:rsid w:val="005331DA"/>
    <w:rsid w:val="005375CB"/>
    <w:rsid w:val="005378CD"/>
    <w:rsid w:val="00542069"/>
    <w:rsid w:val="00542844"/>
    <w:rsid w:val="0054382D"/>
    <w:rsid w:val="00544462"/>
    <w:rsid w:val="005463CA"/>
    <w:rsid w:val="00550E35"/>
    <w:rsid w:val="00552242"/>
    <w:rsid w:val="00552B21"/>
    <w:rsid w:val="005628B1"/>
    <w:rsid w:val="00566687"/>
    <w:rsid w:val="005701DB"/>
    <w:rsid w:val="005721AC"/>
    <w:rsid w:val="00585E75"/>
    <w:rsid w:val="005902F0"/>
    <w:rsid w:val="005909E8"/>
    <w:rsid w:val="0059123A"/>
    <w:rsid w:val="00591B2F"/>
    <w:rsid w:val="005960AC"/>
    <w:rsid w:val="005A69A4"/>
    <w:rsid w:val="005C0044"/>
    <w:rsid w:val="005C2069"/>
    <w:rsid w:val="005D45D6"/>
    <w:rsid w:val="005E7E2A"/>
    <w:rsid w:val="005F0CA1"/>
    <w:rsid w:val="005F2F19"/>
    <w:rsid w:val="005F3053"/>
    <w:rsid w:val="005F31F9"/>
    <w:rsid w:val="00606348"/>
    <w:rsid w:val="00607614"/>
    <w:rsid w:val="00610C75"/>
    <w:rsid w:val="00617E64"/>
    <w:rsid w:val="00620016"/>
    <w:rsid w:val="00630706"/>
    <w:rsid w:val="00633CFF"/>
    <w:rsid w:val="00650A5B"/>
    <w:rsid w:val="00655CF4"/>
    <w:rsid w:val="00656C8E"/>
    <w:rsid w:val="0066042D"/>
    <w:rsid w:val="006621E0"/>
    <w:rsid w:val="00666AF7"/>
    <w:rsid w:val="006670A3"/>
    <w:rsid w:val="00674BF8"/>
    <w:rsid w:val="00682369"/>
    <w:rsid w:val="006874CB"/>
    <w:rsid w:val="006A51B7"/>
    <w:rsid w:val="006A64E8"/>
    <w:rsid w:val="006A7FC6"/>
    <w:rsid w:val="006B1483"/>
    <w:rsid w:val="006B3D98"/>
    <w:rsid w:val="006B5C31"/>
    <w:rsid w:val="006B6335"/>
    <w:rsid w:val="006C31D6"/>
    <w:rsid w:val="006C59F9"/>
    <w:rsid w:val="006C6ED3"/>
    <w:rsid w:val="006D0C89"/>
    <w:rsid w:val="006D215C"/>
    <w:rsid w:val="006E7B36"/>
    <w:rsid w:val="006F45D2"/>
    <w:rsid w:val="006F4709"/>
    <w:rsid w:val="00710F83"/>
    <w:rsid w:val="00716361"/>
    <w:rsid w:val="00716C12"/>
    <w:rsid w:val="00717020"/>
    <w:rsid w:val="007174F5"/>
    <w:rsid w:val="0072063B"/>
    <w:rsid w:val="00721868"/>
    <w:rsid w:val="00725065"/>
    <w:rsid w:val="00727B12"/>
    <w:rsid w:val="00735A68"/>
    <w:rsid w:val="007462EC"/>
    <w:rsid w:val="0074743B"/>
    <w:rsid w:val="007512BB"/>
    <w:rsid w:val="00754887"/>
    <w:rsid w:val="00755FEA"/>
    <w:rsid w:val="00756667"/>
    <w:rsid w:val="00764CC0"/>
    <w:rsid w:val="0077437A"/>
    <w:rsid w:val="00777823"/>
    <w:rsid w:val="00781AFF"/>
    <w:rsid w:val="00785469"/>
    <w:rsid w:val="00797300"/>
    <w:rsid w:val="007A4087"/>
    <w:rsid w:val="007A5133"/>
    <w:rsid w:val="007B54CA"/>
    <w:rsid w:val="007C5120"/>
    <w:rsid w:val="007D1CB2"/>
    <w:rsid w:val="007D2D52"/>
    <w:rsid w:val="007D2FDC"/>
    <w:rsid w:val="007D4B0C"/>
    <w:rsid w:val="007D553D"/>
    <w:rsid w:val="007E33A0"/>
    <w:rsid w:val="007E4244"/>
    <w:rsid w:val="007E6E75"/>
    <w:rsid w:val="007F0B77"/>
    <w:rsid w:val="007F3330"/>
    <w:rsid w:val="007F4147"/>
    <w:rsid w:val="00811CBE"/>
    <w:rsid w:val="00812972"/>
    <w:rsid w:val="008151F8"/>
    <w:rsid w:val="00815F66"/>
    <w:rsid w:val="00817877"/>
    <w:rsid w:val="00817E77"/>
    <w:rsid w:val="00821A11"/>
    <w:rsid w:val="00821A5A"/>
    <w:rsid w:val="00821E86"/>
    <w:rsid w:val="008377BC"/>
    <w:rsid w:val="008413E9"/>
    <w:rsid w:val="008470A3"/>
    <w:rsid w:val="008471D8"/>
    <w:rsid w:val="008479D5"/>
    <w:rsid w:val="00847BBA"/>
    <w:rsid w:val="008614E9"/>
    <w:rsid w:val="00864679"/>
    <w:rsid w:val="008654A6"/>
    <w:rsid w:val="00866527"/>
    <w:rsid w:val="008672BA"/>
    <w:rsid w:val="00875001"/>
    <w:rsid w:val="008862F5"/>
    <w:rsid w:val="00887BE7"/>
    <w:rsid w:val="00887C22"/>
    <w:rsid w:val="00892F54"/>
    <w:rsid w:val="00896D06"/>
    <w:rsid w:val="008A109D"/>
    <w:rsid w:val="008A2154"/>
    <w:rsid w:val="008A321D"/>
    <w:rsid w:val="008A55FB"/>
    <w:rsid w:val="008A728C"/>
    <w:rsid w:val="008A7A2E"/>
    <w:rsid w:val="008B2754"/>
    <w:rsid w:val="008B2E05"/>
    <w:rsid w:val="008C1527"/>
    <w:rsid w:val="008C1868"/>
    <w:rsid w:val="008C1E88"/>
    <w:rsid w:val="008C2AF0"/>
    <w:rsid w:val="008C43BA"/>
    <w:rsid w:val="008C5B51"/>
    <w:rsid w:val="008D011D"/>
    <w:rsid w:val="008D311C"/>
    <w:rsid w:val="008E2A9A"/>
    <w:rsid w:val="008E3E9F"/>
    <w:rsid w:val="008E7A83"/>
    <w:rsid w:val="008F64CD"/>
    <w:rsid w:val="0090110E"/>
    <w:rsid w:val="0090166C"/>
    <w:rsid w:val="00902F7F"/>
    <w:rsid w:val="00903274"/>
    <w:rsid w:val="00906FCF"/>
    <w:rsid w:val="00915D0A"/>
    <w:rsid w:val="00916BF0"/>
    <w:rsid w:val="00920A77"/>
    <w:rsid w:val="00921D41"/>
    <w:rsid w:val="00930122"/>
    <w:rsid w:val="0093265D"/>
    <w:rsid w:val="009364F2"/>
    <w:rsid w:val="00937B30"/>
    <w:rsid w:val="009422B4"/>
    <w:rsid w:val="00943430"/>
    <w:rsid w:val="00950DC4"/>
    <w:rsid w:val="009517B3"/>
    <w:rsid w:val="00956836"/>
    <w:rsid w:val="009572F9"/>
    <w:rsid w:val="0096364E"/>
    <w:rsid w:val="00972D57"/>
    <w:rsid w:val="00973180"/>
    <w:rsid w:val="0097319B"/>
    <w:rsid w:val="00993696"/>
    <w:rsid w:val="009A03A0"/>
    <w:rsid w:val="009A2B6A"/>
    <w:rsid w:val="009A5BC4"/>
    <w:rsid w:val="009B47F8"/>
    <w:rsid w:val="009B72EE"/>
    <w:rsid w:val="009C209C"/>
    <w:rsid w:val="009C2BA6"/>
    <w:rsid w:val="009C53C7"/>
    <w:rsid w:val="009D1ED8"/>
    <w:rsid w:val="009D30D1"/>
    <w:rsid w:val="009D68BB"/>
    <w:rsid w:val="009E0785"/>
    <w:rsid w:val="009E26DA"/>
    <w:rsid w:val="009E27B4"/>
    <w:rsid w:val="009F04E5"/>
    <w:rsid w:val="009F2C4F"/>
    <w:rsid w:val="009F7C09"/>
    <w:rsid w:val="00A01477"/>
    <w:rsid w:val="00A13E67"/>
    <w:rsid w:val="00A1433C"/>
    <w:rsid w:val="00A1771F"/>
    <w:rsid w:val="00A211BD"/>
    <w:rsid w:val="00A22D73"/>
    <w:rsid w:val="00A3403E"/>
    <w:rsid w:val="00A342BC"/>
    <w:rsid w:val="00A35733"/>
    <w:rsid w:val="00A362F7"/>
    <w:rsid w:val="00A402F3"/>
    <w:rsid w:val="00A40CCD"/>
    <w:rsid w:val="00A42DB0"/>
    <w:rsid w:val="00A44602"/>
    <w:rsid w:val="00A53512"/>
    <w:rsid w:val="00A6490E"/>
    <w:rsid w:val="00A64C9B"/>
    <w:rsid w:val="00A66BF1"/>
    <w:rsid w:val="00A7448D"/>
    <w:rsid w:val="00A760BD"/>
    <w:rsid w:val="00A810D5"/>
    <w:rsid w:val="00A8219E"/>
    <w:rsid w:val="00A82825"/>
    <w:rsid w:val="00AA0599"/>
    <w:rsid w:val="00AA7D11"/>
    <w:rsid w:val="00AB0B7A"/>
    <w:rsid w:val="00AB6F09"/>
    <w:rsid w:val="00AC428F"/>
    <w:rsid w:val="00AC509C"/>
    <w:rsid w:val="00AD170B"/>
    <w:rsid w:val="00AE551F"/>
    <w:rsid w:val="00AE73B8"/>
    <w:rsid w:val="00AE7BEE"/>
    <w:rsid w:val="00AF5D1D"/>
    <w:rsid w:val="00AF6213"/>
    <w:rsid w:val="00AF74D0"/>
    <w:rsid w:val="00B005C2"/>
    <w:rsid w:val="00B0274F"/>
    <w:rsid w:val="00B069EC"/>
    <w:rsid w:val="00B07EC9"/>
    <w:rsid w:val="00B07F3A"/>
    <w:rsid w:val="00B13E52"/>
    <w:rsid w:val="00B169DF"/>
    <w:rsid w:val="00B17A09"/>
    <w:rsid w:val="00B23BAF"/>
    <w:rsid w:val="00B2648D"/>
    <w:rsid w:val="00B27267"/>
    <w:rsid w:val="00B279FF"/>
    <w:rsid w:val="00B32C32"/>
    <w:rsid w:val="00B40771"/>
    <w:rsid w:val="00B4140D"/>
    <w:rsid w:val="00B434E7"/>
    <w:rsid w:val="00B47788"/>
    <w:rsid w:val="00B50E24"/>
    <w:rsid w:val="00B51C4B"/>
    <w:rsid w:val="00B53A08"/>
    <w:rsid w:val="00B555B2"/>
    <w:rsid w:val="00B5728A"/>
    <w:rsid w:val="00B620B8"/>
    <w:rsid w:val="00B64407"/>
    <w:rsid w:val="00B70FD1"/>
    <w:rsid w:val="00B712A8"/>
    <w:rsid w:val="00B72496"/>
    <w:rsid w:val="00B7265E"/>
    <w:rsid w:val="00B73428"/>
    <w:rsid w:val="00B734C7"/>
    <w:rsid w:val="00B74247"/>
    <w:rsid w:val="00B806B0"/>
    <w:rsid w:val="00B81F76"/>
    <w:rsid w:val="00B82081"/>
    <w:rsid w:val="00B84D6D"/>
    <w:rsid w:val="00B9192C"/>
    <w:rsid w:val="00B93759"/>
    <w:rsid w:val="00B960CA"/>
    <w:rsid w:val="00BA41A8"/>
    <w:rsid w:val="00BA77FB"/>
    <w:rsid w:val="00BB19F2"/>
    <w:rsid w:val="00BB6246"/>
    <w:rsid w:val="00BC131A"/>
    <w:rsid w:val="00BC5625"/>
    <w:rsid w:val="00BC6A9F"/>
    <w:rsid w:val="00BD4836"/>
    <w:rsid w:val="00BD51A0"/>
    <w:rsid w:val="00BE62B2"/>
    <w:rsid w:val="00BF0484"/>
    <w:rsid w:val="00BF3732"/>
    <w:rsid w:val="00BF3BC1"/>
    <w:rsid w:val="00BF72A9"/>
    <w:rsid w:val="00C00940"/>
    <w:rsid w:val="00C10920"/>
    <w:rsid w:val="00C10E27"/>
    <w:rsid w:val="00C1177E"/>
    <w:rsid w:val="00C1202C"/>
    <w:rsid w:val="00C14B69"/>
    <w:rsid w:val="00C157E2"/>
    <w:rsid w:val="00C15F0B"/>
    <w:rsid w:val="00C16347"/>
    <w:rsid w:val="00C22AD2"/>
    <w:rsid w:val="00C35AFC"/>
    <w:rsid w:val="00C37A8E"/>
    <w:rsid w:val="00C41DAC"/>
    <w:rsid w:val="00C4376F"/>
    <w:rsid w:val="00C50FEF"/>
    <w:rsid w:val="00C54757"/>
    <w:rsid w:val="00C60F02"/>
    <w:rsid w:val="00C641B8"/>
    <w:rsid w:val="00C658EE"/>
    <w:rsid w:val="00C662AD"/>
    <w:rsid w:val="00C6770C"/>
    <w:rsid w:val="00C70D8D"/>
    <w:rsid w:val="00C712CB"/>
    <w:rsid w:val="00C72E43"/>
    <w:rsid w:val="00C73F4F"/>
    <w:rsid w:val="00C768E4"/>
    <w:rsid w:val="00C80364"/>
    <w:rsid w:val="00C82F44"/>
    <w:rsid w:val="00C90E5C"/>
    <w:rsid w:val="00C92415"/>
    <w:rsid w:val="00CA0948"/>
    <w:rsid w:val="00CA23DA"/>
    <w:rsid w:val="00CA3A0F"/>
    <w:rsid w:val="00CA7B4A"/>
    <w:rsid w:val="00CA7EE5"/>
    <w:rsid w:val="00CB014F"/>
    <w:rsid w:val="00CB4FD3"/>
    <w:rsid w:val="00CB53C1"/>
    <w:rsid w:val="00CC049E"/>
    <w:rsid w:val="00CC1ECD"/>
    <w:rsid w:val="00CD2C02"/>
    <w:rsid w:val="00CD4EC5"/>
    <w:rsid w:val="00CE1950"/>
    <w:rsid w:val="00CE6D5C"/>
    <w:rsid w:val="00CF0C0A"/>
    <w:rsid w:val="00CF5EE7"/>
    <w:rsid w:val="00D032B5"/>
    <w:rsid w:val="00D038B2"/>
    <w:rsid w:val="00D10C43"/>
    <w:rsid w:val="00D1392E"/>
    <w:rsid w:val="00D15F57"/>
    <w:rsid w:val="00D23425"/>
    <w:rsid w:val="00D2538D"/>
    <w:rsid w:val="00D32836"/>
    <w:rsid w:val="00D35C21"/>
    <w:rsid w:val="00D41C31"/>
    <w:rsid w:val="00D42326"/>
    <w:rsid w:val="00D457A6"/>
    <w:rsid w:val="00D539CD"/>
    <w:rsid w:val="00D557BD"/>
    <w:rsid w:val="00D5614B"/>
    <w:rsid w:val="00D64EEF"/>
    <w:rsid w:val="00D6759D"/>
    <w:rsid w:val="00D8159F"/>
    <w:rsid w:val="00D85877"/>
    <w:rsid w:val="00D90A85"/>
    <w:rsid w:val="00D916A8"/>
    <w:rsid w:val="00D9344E"/>
    <w:rsid w:val="00D93E8E"/>
    <w:rsid w:val="00DA4FC8"/>
    <w:rsid w:val="00DB0B0C"/>
    <w:rsid w:val="00DB10A5"/>
    <w:rsid w:val="00DB1389"/>
    <w:rsid w:val="00DB7292"/>
    <w:rsid w:val="00DC116D"/>
    <w:rsid w:val="00DD03EF"/>
    <w:rsid w:val="00DE609D"/>
    <w:rsid w:val="00DE6EAD"/>
    <w:rsid w:val="00E049F2"/>
    <w:rsid w:val="00E06265"/>
    <w:rsid w:val="00E124B8"/>
    <w:rsid w:val="00E12E5D"/>
    <w:rsid w:val="00E150F9"/>
    <w:rsid w:val="00E16EC8"/>
    <w:rsid w:val="00E21E89"/>
    <w:rsid w:val="00E22836"/>
    <w:rsid w:val="00E32115"/>
    <w:rsid w:val="00E33301"/>
    <w:rsid w:val="00E33AF2"/>
    <w:rsid w:val="00E349E5"/>
    <w:rsid w:val="00E37A1F"/>
    <w:rsid w:val="00E41A8D"/>
    <w:rsid w:val="00E452E0"/>
    <w:rsid w:val="00E463BF"/>
    <w:rsid w:val="00E51EE9"/>
    <w:rsid w:val="00E529E3"/>
    <w:rsid w:val="00E5764C"/>
    <w:rsid w:val="00E621CB"/>
    <w:rsid w:val="00E67BB9"/>
    <w:rsid w:val="00E72766"/>
    <w:rsid w:val="00E76602"/>
    <w:rsid w:val="00E8165C"/>
    <w:rsid w:val="00E82B31"/>
    <w:rsid w:val="00E84664"/>
    <w:rsid w:val="00E93E2A"/>
    <w:rsid w:val="00E94966"/>
    <w:rsid w:val="00EA2DBA"/>
    <w:rsid w:val="00EA66D5"/>
    <w:rsid w:val="00EA69ED"/>
    <w:rsid w:val="00EA7C0A"/>
    <w:rsid w:val="00EB1115"/>
    <w:rsid w:val="00EB43F7"/>
    <w:rsid w:val="00EC740F"/>
    <w:rsid w:val="00EC780B"/>
    <w:rsid w:val="00EC7D87"/>
    <w:rsid w:val="00ED233E"/>
    <w:rsid w:val="00ED280E"/>
    <w:rsid w:val="00ED7891"/>
    <w:rsid w:val="00EF0B5D"/>
    <w:rsid w:val="00EF61D9"/>
    <w:rsid w:val="00EF75BC"/>
    <w:rsid w:val="00F0500B"/>
    <w:rsid w:val="00F079A1"/>
    <w:rsid w:val="00F107E9"/>
    <w:rsid w:val="00F17A35"/>
    <w:rsid w:val="00F2127A"/>
    <w:rsid w:val="00F22CFA"/>
    <w:rsid w:val="00F2399E"/>
    <w:rsid w:val="00F23D03"/>
    <w:rsid w:val="00F24088"/>
    <w:rsid w:val="00F241F3"/>
    <w:rsid w:val="00F26AE0"/>
    <w:rsid w:val="00F34838"/>
    <w:rsid w:val="00F36337"/>
    <w:rsid w:val="00F451DB"/>
    <w:rsid w:val="00F50DA7"/>
    <w:rsid w:val="00F526D2"/>
    <w:rsid w:val="00F57CBA"/>
    <w:rsid w:val="00F64893"/>
    <w:rsid w:val="00F72830"/>
    <w:rsid w:val="00F73C50"/>
    <w:rsid w:val="00F833A3"/>
    <w:rsid w:val="00F86276"/>
    <w:rsid w:val="00FA328F"/>
    <w:rsid w:val="00FA5B63"/>
    <w:rsid w:val="00FB66DF"/>
    <w:rsid w:val="00FB68CE"/>
    <w:rsid w:val="00FC0A53"/>
    <w:rsid w:val="00FC1E79"/>
    <w:rsid w:val="00FC20B4"/>
    <w:rsid w:val="00FC4487"/>
    <w:rsid w:val="00FD1B8F"/>
    <w:rsid w:val="00FE6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ECB7D-D849-4AF9-B8A6-678E771A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A6"/>
  </w:style>
  <w:style w:type="paragraph" w:styleId="Heading2">
    <w:name w:val="heading 2"/>
    <w:basedOn w:val="Normal"/>
    <w:next w:val="Normal"/>
    <w:link w:val="Heading2Char"/>
    <w:unhideWhenUsed/>
    <w:qFormat/>
    <w:rsid w:val="005074F4"/>
    <w:pPr>
      <w:keepNext/>
      <w:spacing w:before="360" w:after="120" w:line="240" w:lineRule="auto"/>
      <w:jc w:val="both"/>
      <w:outlineLvl w:val="1"/>
    </w:pPr>
    <w:rPr>
      <w:rFonts w:ascii="Arial" w:eastAsia="Times New Roman" w:hAnsi="Arial" w:cs="Times New Roman"/>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8D"/>
    <w:pPr>
      <w:ind w:left="720"/>
      <w:contextualSpacing/>
    </w:pPr>
  </w:style>
  <w:style w:type="table" w:styleId="TableGrid">
    <w:name w:val="Table Grid"/>
    <w:basedOn w:val="TableNormal"/>
    <w:uiPriority w:val="59"/>
    <w:rsid w:val="004F2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F2"/>
    <w:rPr>
      <w:rFonts w:ascii="Tahoma" w:hAnsi="Tahoma" w:cs="Tahoma"/>
      <w:sz w:val="16"/>
      <w:szCs w:val="16"/>
    </w:rPr>
  </w:style>
  <w:style w:type="character" w:customStyle="1" w:styleId="Heading2Char">
    <w:name w:val="Heading 2 Char"/>
    <w:basedOn w:val="DefaultParagraphFont"/>
    <w:link w:val="Heading2"/>
    <w:rsid w:val="005074F4"/>
    <w:rPr>
      <w:rFonts w:ascii="Arial" w:eastAsia="Times New Roman" w:hAnsi="Arial" w:cs="Times New Roman"/>
      <w:b/>
      <w:bCs/>
      <w:iCs/>
      <w:sz w:val="28"/>
      <w:szCs w:val="28"/>
      <w:lang w:eastAsia="en-AU"/>
    </w:rPr>
  </w:style>
  <w:style w:type="paragraph" w:customStyle="1" w:styleId="BottomLine">
    <w:name w:val="Bottom Line"/>
    <w:basedOn w:val="Normal"/>
    <w:rsid w:val="005074F4"/>
    <w:pPr>
      <w:pBdr>
        <w:top w:val="single" w:sz="12" w:space="1" w:color="auto"/>
      </w:pBdr>
      <w:spacing w:after="0" w:line="240" w:lineRule="auto"/>
      <w:jc w:val="both"/>
    </w:pPr>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507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4F4"/>
  </w:style>
  <w:style w:type="paragraph" w:styleId="Footer">
    <w:name w:val="footer"/>
    <w:basedOn w:val="Normal"/>
    <w:link w:val="FooterChar"/>
    <w:uiPriority w:val="99"/>
    <w:unhideWhenUsed/>
    <w:rsid w:val="00507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9D0E-4AB0-4AA4-9625-94A3377A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Teritory Government</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Aileen Macdonald</dc:creator>
  <cp:lastModifiedBy>Louise Ranger</cp:lastModifiedBy>
  <cp:revision>3</cp:revision>
  <cp:lastPrinted>2017-11-10T00:59:00Z</cp:lastPrinted>
  <dcterms:created xsi:type="dcterms:W3CDTF">2017-11-23T01:23:00Z</dcterms:created>
  <dcterms:modified xsi:type="dcterms:W3CDTF">2017-11-23T01:25:00Z</dcterms:modified>
</cp:coreProperties>
</file>